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26D" w:rsidRDefault="00ED5373" w:rsidP="00FB126D">
      <w:pPr>
        <w:spacing w:after="0" w:line="240" w:lineRule="auto"/>
        <w:jc w:val="center"/>
        <w:rPr>
          <w:rFonts w:ascii="Garamond" w:eastAsia="Calibri" w:hAnsi="Garamond" w:cs="Times New Roman"/>
          <w:b/>
          <w:i/>
          <w:color w:val="595959" w:themeColor="text1" w:themeTint="A6"/>
          <w:sz w:val="24"/>
        </w:rPr>
      </w:pPr>
      <w:r w:rsidRPr="00ED5373">
        <w:rPr>
          <w:rFonts w:ascii="Garamond" w:eastAsia="Calibri" w:hAnsi="Garamond" w:cs="Times New Roman"/>
          <w:b/>
          <w:i/>
          <w:noProof/>
          <w:color w:val="595959" w:themeColor="text1" w:themeTint="A6"/>
          <w:sz w:val="24"/>
        </w:rPr>
        <mc:AlternateContent>
          <mc:Choice Requires="wps">
            <w:drawing>
              <wp:anchor distT="0" distB="0" distL="114300" distR="114300" simplePos="0" relativeHeight="251671552" behindDoc="0" locked="0" layoutInCell="1" allowOverlap="1" wp14:anchorId="7948689D" wp14:editId="69E23FCD">
                <wp:simplePos x="0" y="0"/>
                <wp:positionH relativeFrom="column">
                  <wp:posOffset>-9525</wp:posOffset>
                </wp:positionH>
                <wp:positionV relativeFrom="paragraph">
                  <wp:posOffset>691515</wp:posOffset>
                </wp:positionV>
                <wp:extent cx="3581400"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57175"/>
                        </a:xfrm>
                        <a:prstGeom prst="rect">
                          <a:avLst/>
                        </a:prstGeom>
                        <a:noFill/>
                        <a:ln w="9525">
                          <a:noFill/>
                          <a:miter lim="800000"/>
                          <a:headEnd/>
                          <a:tailEnd/>
                        </a:ln>
                      </wps:spPr>
                      <wps:txbx>
                        <w:txbxContent>
                          <w:p w:rsidR="00ED5373" w:rsidRPr="00ED5373" w:rsidRDefault="00CF6FFE">
                            <w:pPr>
                              <w:rPr>
                                <w:rFonts w:ascii="Times New Roman" w:hAnsi="Times New Roman" w:cs="Times New Roman"/>
                                <w:b/>
                                <w:color w:val="EEECE1" w:themeColor="background2"/>
                              </w:rPr>
                            </w:pPr>
                            <w:r>
                              <w:rPr>
                                <w:rFonts w:ascii="Times New Roman" w:hAnsi="Times New Roman" w:cs="Times New Roman"/>
                                <w:b/>
                                <w:color w:val="EEECE1" w:themeColor="background2"/>
                              </w:rPr>
                              <w:t>Fourth</w:t>
                            </w:r>
                            <w:r w:rsidR="00ED5373" w:rsidRPr="00ED5373">
                              <w:rPr>
                                <w:rFonts w:ascii="Times New Roman" w:hAnsi="Times New Roman" w:cs="Times New Roman"/>
                                <w:b/>
                                <w:color w:val="EEECE1" w:themeColor="background2"/>
                              </w:rPr>
                              <w:t xml:space="preserve"> Quarte</w:t>
                            </w:r>
                            <w:r w:rsidR="00ED5373">
                              <w:rPr>
                                <w:rFonts w:ascii="Times New Roman" w:hAnsi="Times New Roman" w:cs="Times New Roman"/>
                                <w:b/>
                                <w:color w:val="EEECE1" w:themeColor="background2"/>
                              </w:rPr>
                              <w:t>r Fixed Income Review,</w:t>
                            </w:r>
                            <w:r>
                              <w:rPr>
                                <w:rFonts w:ascii="Times New Roman" w:hAnsi="Times New Roman" w:cs="Times New Roman"/>
                                <w:b/>
                                <w:color w:val="EEECE1" w:themeColor="background2"/>
                              </w:rPr>
                              <w:t xml:space="preserve"> February 2017</w:t>
                            </w:r>
                            <w:r w:rsidR="00ED5373">
                              <w:rPr>
                                <w:rFonts w:ascii="Times New Roman" w:hAnsi="Times New Roman" w:cs="Times New Roman"/>
                                <w:b/>
                                <w:color w:val="EEECE1" w:themeColor="background2"/>
                              </w:rPr>
                              <w:t xml:space="preserve">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8689D" id="_x0000_t202" coordsize="21600,21600" o:spt="202" path="m,l,21600r21600,l21600,xe">
                <v:stroke joinstyle="miter"/>
                <v:path gradientshapeok="t" o:connecttype="rect"/>
              </v:shapetype>
              <v:shape id="Text Box 2" o:spid="_x0000_s1026" type="#_x0000_t202" style="position:absolute;left:0;text-align:left;margin-left:-.75pt;margin-top:54.45pt;width:282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" filled="f" stroked="f">
                <v:textbox>
                  <w:txbxContent>
                    <w:p w:rsidR="00ED5373" w:rsidRPr="00ED5373" w:rsidRDefault="00CF6FFE">
                      <w:pPr>
                        <w:rPr>
                          <w:rFonts w:ascii="Times New Roman" w:hAnsi="Times New Roman" w:cs="Times New Roman"/>
                          <w:b/>
                          <w:color w:val="EEECE1" w:themeColor="background2"/>
                        </w:rPr>
                      </w:pPr>
                      <w:r>
                        <w:rPr>
                          <w:rFonts w:ascii="Times New Roman" w:hAnsi="Times New Roman" w:cs="Times New Roman"/>
                          <w:b/>
                          <w:color w:val="EEECE1" w:themeColor="background2"/>
                        </w:rPr>
                        <w:t>Fourth</w:t>
                      </w:r>
                      <w:r w:rsidR="00ED5373" w:rsidRPr="00ED5373">
                        <w:rPr>
                          <w:rFonts w:ascii="Times New Roman" w:hAnsi="Times New Roman" w:cs="Times New Roman"/>
                          <w:b/>
                          <w:color w:val="EEECE1" w:themeColor="background2"/>
                        </w:rPr>
                        <w:t xml:space="preserve"> Quarte</w:t>
                      </w:r>
                      <w:r w:rsidR="00ED5373">
                        <w:rPr>
                          <w:rFonts w:ascii="Times New Roman" w:hAnsi="Times New Roman" w:cs="Times New Roman"/>
                          <w:b/>
                          <w:color w:val="EEECE1" w:themeColor="background2"/>
                        </w:rPr>
                        <w:t>r Fixed Income Review,</w:t>
                      </w:r>
                      <w:r>
                        <w:rPr>
                          <w:rFonts w:ascii="Times New Roman" w:hAnsi="Times New Roman" w:cs="Times New Roman"/>
                          <w:b/>
                          <w:color w:val="EEECE1" w:themeColor="background2"/>
                        </w:rPr>
                        <w:t xml:space="preserve"> February 2017</w:t>
                      </w:r>
                      <w:r w:rsidR="00ED5373">
                        <w:rPr>
                          <w:rFonts w:ascii="Times New Roman" w:hAnsi="Times New Roman" w:cs="Times New Roman"/>
                          <w:b/>
                          <w:color w:val="EEECE1" w:themeColor="background2"/>
                        </w:rPr>
                        <w:t xml:space="preserve"> 2016</w:t>
                      </w:r>
                    </w:p>
                  </w:txbxContent>
                </v:textbox>
              </v:shape>
            </w:pict>
          </mc:Fallback>
        </mc:AlternateContent>
      </w:r>
      <w:r w:rsidR="002E31F7">
        <w:rPr>
          <w:rFonts w:ascii="Garamond" w:eastAsia="Calibri" w:hAnsi="Garamond" w:cs="Times New Roman"/>
          <w:b/>
          <w:noProof/>
          <w:sz w:val="24"/>
        </w:rPr>
        <w:drawing>
          <wp:anchor distT="0" distB="0" distL="114300" distR="114300" simplePos="0" relativeHeight="251669504" behindDoc="0" locked="0" layoutInCell="1" allowOverlap="1" wp14:anchorId="27B6838D" wp14:editId="1FE1772A">
            <wp:simplePos x="0" y="0"/>
            <wp:positionH relativeFrom="column">
              <wp:posOffset>304800</wp:posOffset>
            </wp:positionH>
            <wp:positionV relativeFrom="paragraph">
              <wp:posOffset>-4445</wp:posOffset>
            </wp:positionV>
            <wp:extent cx="1809750" cy="643467"/>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 Logo.png"/>
                    <pic:cNvPicPr/>
                  </pic:nvPicPr>
                  <pic:blipFill>
                    <a:blip r:embed="rId8">
                      <a:extLst>
                        <a:ext uri="{28A0092B-C50C-407E-A947-70E740481C1C}">
                          <a14:useLocalDpi xmlns:a14="http://schemas.microsoft.com/office/drawing/2010/main" val="0"/>
                        </a:ext>
                      </a:extLst>
                    </a:blip>
                    <a:stretch>
                      <a:fillRect/>
                    </a:stretch>
                  </pic:blipFill>
                  <pic:spPr>
                    <a:xfrm>
                      <a:off x="0" y="0"/>
                      <a:ext cx="1809750" cy="643467"/>
                    </a:xfrm>
                    <a:prstGeom prst="rect">
                      <a:avLst/>
                    </a:prstGeom>
                  </pic:spPr>
                </pic:pic>
              </a:graphicData>
            </a:graphic>
            <wp14:sizeRelH relativeFrom="page">
              <wp14:pctWidth>0</wp14:pctWidth>
            </wp14:sizeRelH>
            <wp14:sizeRelV relativeFrom="page">
              <wp14:pctHeight>0</wp14:pctHeight>
            </wp14:sizeRelV>
          </wp:anchor>
        </w:drawing>
      </w:r>
      <w:r w:rsidR="002E31F7">
        <w:rPr>
          <w:rFonts w:ascii="Calibri" w:eastAsia="Calibri" w:hAnsi="Calibri" w:cs="Times New Roman"/>
          <w:b/>
          <w:noProof/>
          <w:sz w:val="36"/>
        </w:rPr>
        <w:drawing>
          <wp:inline distT="0" distB="0" distL="0" distR="0" wp14:anchorId="57EC1A67" wp14:editId="17BDD45C">
            <wp:extent cx="6965305" cy="9620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lboat banner.jpg"/>
                    <pic:cNvPicPr/>
                  </pic:nvPicPr>
                  <pic:blipFill>
                    <a:blip r:embed="rId9">
                      <a:extLst>
                        <a:ext uri="{28A0092B-C50C-407E-A947-70E740481C1C}">
                          <a14:useLocalDpi xmlns:a14="http://schemas.microsoft.com/office/drawing/2010/main" val="0"/>
                        </a:ext>
                      </a:extLst>
                    </a:blip>
                    <a:stretch>
                      <a:fillRect/>
                    </a:stretch>
                  </pic:blipFill>
                  <pic:spPr>
                    <a:xfrm>
                      <a:off x="0" y="0"/>
                      <a:ext cx="7010209" cy="968227"/>
                    </a:xfrm>
                    <a:prstGeom prst="rect">
                      <a:avLst/>
                    </a:prstGeom>
                  </pic:spPr>
                </pic:pic>
              </a:graphicData>
            </a:graphic>
          </wp:inline>
        </w:drawing>
      </w:r>
    </w:p>
    <w:p w:rsidR="00FB126D" w:rsidRPr="00FB126D" w:rsidRDefault="00FB126D" w:rsidP="00FB126D">
      <w:pPr>
        <w:spacing w:after="0" w:line="240" w:lineRule="auto"/>
        <w:jc w:val="right"/>
        <w:rPr>
          <w:rFonts w:ascii="Garamond" w:eastAsia="Calibri" w:hAnsi="Garamond" w:cs="Times New Roman"/>
          <w:b/>
          <w:i/>
          <w:color w:val="595959" w:themeColor="text1" w:themeTint="A6"/>
          <w:sz w:val="14"/>
        </w:rPr>
      </w:pPr>
    </w:p>
    <w:p w:rsidR="00484B2B" w:rsidRPr="00FB126D" w:rsidRDefault="00385CD9" w:rsidP="00FB126D">
      <w:pPr>
        <w:spacing w:after="0" w:line="240" w:lineRule="auto"/>
        <w:jc w:val="right"/>
        <w:rPr>
          <w:rFonts w:ascii="Calibri" w:eastAsia="Calibri" w:hAnsi="Calibri" w:cs="Times New Roman"/>
          <w:b/>
          <w:sz w:val="36"/>
        </w:rPr>
      </w:pPr>
      <w:r w:rsidRPr="00ED5373">
        <w:rPr>
          <w:rFonts w:ascii="Garamond" w:eastAsia="Calibri" w:hAnsi="Garamond" w:cs="Times New Roman"/>
          <w:b/>
          <w:i/>
          <w:color w:val="595959" w:themeColor="text1" w:themeTint="A6"/>
          <w:sz w:val="24"/>
        </w:rPr>
        <w:t xml:space="preserve">John E. </w:t>
      </w:r>
      <w:r w:rsidR="00C42CB7" w:rsidRPr="00ED5373">
        <w:rPr>
          <w:rFonts w:ascii="Garamond" w:eastAsia="Calibri" w:hAnsi="Garamond" w:cs="Times New Roman"/>
          <w:b/>
          <w:i/>
          <w:color w:val="595959" w:themeColor="text1" w:themeTint="A6"/>
          <w:sz w:val="24"/>
        </w:rPr>
        <w:t>W</w:t>
      </w:r>
      <w:r w:rsidR="00ED5373">
        <w:rPr>
          <w:rFonts w:ascii="Garamond" w:eastAsia="Calibri" w:hAnsi="Garamond" w:cs="Times New Roman"/>
          <w:b/>
          <w:i/>
          <w:color w:val="595959" w:themeColor="text1" w:themeTint="A6"/>
          <w:sz w:val="24"/>
        </w:rPr>
        <w:t>olfsberg</w:t>
      </w:r>
      <w:r w:rsidR="00FB126D">
        <w:rPr>
          <w:rFonts w:ascii="Garamond" w:eastAsia="Calibri" w:hAnsi="Garamond" w:cs="Times New Roman"/>
          <w:b/>
          <w:i/>
          <w:color w:val="595959" w:themeColor="text1" w:themeTint="A6"/>
          <w:sz w:val="24"/>
        </w:rPr>
        <w:t xml:space="preserve">, </w:t>
      </w:r>
      <w:r w:rsidR="00FB126D" w:rsidRPr="00FB126D">
        <w:rPr>
          <w:rFonts w:ascii="Garamond" w:eastAsia="Calibri" w:hAnsi="Garamond" w:cs="Times New Roman"/>
          <w:i/>
          <w:color w:val="595959" w:themeColor="text1" w:themeTint="A6"/>
          <w:sz w:val="24"/>
        </w:rPr>
        <w:t>Managing Principal</w:t>
      </w:r>
      <w:r w:rsidRPr="00ED5373">
        <w:rPr>
          <w:rFonts w:ascii="Garamond" w:eastAsia="Calibri" w:hAnsi="Garamond" w:cs="Times New Roman"/>
          <w:i/>
          <w:color w:val="595959" w:themeColor="text1" w:themeTint="A6"/>
        </w:rPr>
        <w:t xml:space="preserve">        </w:t>
      </w:r>
      <w:r w:rsidR="006C4577" w:rsidRPr="00ED5373">
        <w:rPr>
          <w:rFonts w:ascii="Garamond" w:eastAsia="Calibri" w:hAnsi="Garamond" w:cs="Times New Roman"/>
          <w:i/>
          <w:color w:val="595959" w:themeColor="text1" w:themeTint="A6"/>
        </w:rPr>
        <w:t xml:space="preserve">                          </w:t>
      </w:r>
    </w:p>
    <w:p w:rsidR="00FB126D" w:rsidRPr="00FB126D" w:rsidRDefault="00FB126D" w:rsidP="00A378EF">
      <w:pPr>
        <w:spacing w:after="0" w:line="240" w:lineRule="auto"/>
        <w:rPr>
          <w:rFonts w:ascii="Garamond" w:eastAsia="Calibri" w:hAnsi="Garamond" w:cs="Times New Roman"/>
          <w:i/>
          <w:color w:val="595959" w:themeColor="text1" w:themeTint="A6"/>
          <w:sz w:val="16"/>
        </w:rPr>
      </w:pPr>
    </w:p>
    <w:p w:rsidR="00FB126D" w:rsidRPr="00FB126D" w:rsidRDefault="00FB126D" w:rsidP="00A378EF">
      <w:pPr>
        <w:spacing w:after="0" w:line="240" w:lineRule="auto"/>
        <w:rPr>
          <w:rFonts w:ascii="Times New Roman" w:eastAsia="Calibri" w:hAnsi="Times New Roman" w:cs="Times New Roman"/>
          <w:b/>
          <w:sz w:val="16"/>
          <w:szCs w:val="16"/>
        </w:rPr>
      </w:pPr>
    </w:p>
    <w:p w:rsidR="00A378EF" w:rsidRPr="00484B2B" w:rsidRDefault="00484B2B" w:rsidP="00E45E75">
      <w:pPr>
        <w:pBdr>
          <w:bottom w:val="single" w:sz="4" w:space="1" w:color="31849B" w:themeColor="accent5" w:themeShade="BF"/>
        </w:pBdr>
        <w:spacing w:after="0" w:line="240" w:lineRule="auto"/>
        <w:rPr>
          <w:rFonts w:ascii="Times New Roman" w:hAnsi="Times New Roman" w:cs="Times New Roman"/>
          <w:b/>
          <w:color w:val="215868" w:themeColor="accent5" w:themeShade="80"/>
          <w:sz w:val="40"/>
        </w:rPr>
      </w:pPr>
      <w:r w:rsidRPr="00E45E75">
        <w:rPr>
          <w:rFonts w:ascii="Times New Roman" w:hAnsi="Times New Roman" w:cs="Times New Roman"/>
          <w:b/>
          <w:color w:val="215868" w:themeColor="accent5" w:themeShade="80"/>
          <w:sz w:val="40"/>
        </w:rPr>
        <w:t>Overview</w:t>
      </w:r>
    </w:p>
    <w:p w:rsidR="00097A0A" w:rsidRPr="00097A0A" w:rsidRDefault="00097A0A" w:rsidP="00DB0FD0">
      <w:pPr>
        <w:spacing w:after="0" w:line="240" w:lineRule="auto"/>
        <w:jc w:val="both"/>
        <w:rPr>
          <w:rFonts w:ascii="Garamond" w:eastAsia="Calibri" w:hAnsi="Garamond" w:cs="Times New Roman"/>
          <w:color w:val="595959" w:themeColor="text1" w:themeTint="A6"/>
          <w:sz w:val="14"/>
          <w:szCs w:val="28"/>
        </w:rPr>
      </w:pPr>
    </w:p>
    <w:p w:rsidR="00915BDD" w:rsidRDefault="00915BDD" w:rsidP="00915BDD">
      <w:pPr>
        <w:spacing w:after="0" w:line="240" w:lineRule="auto"/>
        <w:jc w:val="both"/>
        <w:rPr>
          <w:rFonts w:ascii="Garamond" w:eastAsia="Calibri" w:hAnsi="Garamond" w:cs="Times New Roman"/>
          <w:color w:val="595959" w:themeColor="text1" w:themeTint="A6"/>
          <w:sz w:val="28"/>
          <w:szCs w:val="28"/>
        </w:rPr>
      </w:pPr>
      <w:r w:rsidRPr="00915BDD">
        <w:rPr>
          <w:rFonts w:ascii="Garamond" w:eastAsia="Calibri" w:hAnsi="Garamond" w:cs="Times New Roman"/>
          <w:color w:val="595959" w:themeColor="text1" w:themeTint="A6"/>
          <w:sz w:val="28"/>
          <w:szCs w:val="28"/>
        </w:rPr>
        <w:t>After bottoming in the first half of 2016, interest rates rose sharply in the fourth quarter</w:t>
      </w:r>
      <w:r w:rsidR="001E2F9C">
        <w:rPr>
          <w:rFonts w:ascii="Garamond" w:eastAsia="Calibri" w:hAnsi="Garamond" w:cs="Times New Roman"/>
          <w:color w:val="595959" w:themeColor="text1" w:themeTint="A6"/>
          <w:sz w:val="28"/>
          <w:szCs w:val="28"/>
        </w:rPr>
        <w:t xml:space="preserve"> following the surpris</w:t>
      </w:r>
      <w:r w:rsidR="008A21DB">
        <w:rPr>
          <w:rFonts w:ascii="Garamond" w:eastAsia="Calibri" w:hAnsi="Garamond" w:cs="Times New Roman"/>
          <w:color w:val="595959" w:themeColor="text1" w:themeTint="A6"/>
          <w:sz w:val="28"/>
          <w:szCs w:val="28"/>
        </w:rPr>
        <w:t xml:space="preserve">e victory of Donald Trump </w:t>
      </w:r>
      <w:r w:rsidR="00FA2279">
        <w:rPr>
          <w:rFonts w:ascii="Garamond" w:eastAsia="Calibri" w:hAnsi="Garamond" w:cs="Times New Roman"/>
          <w:color w:val="595959" w:themeColor="text1" w:themeTint="A6"/>
          <w:sz w:val="28"/>
          <w:szCs w:val="28"/>
        </w:rPr>
        <w:t>in the U. S. p</w:t>
      </w:r>
      <w:r w:rsidR="001E2F9C">
        <w:rPr>
          <w:rFonts w:ascii="Garamond" w:eastAsia="Calibri" w:hAnsi="Garamond" w:cs="Times New Roman"/>
          <w:color w:val="595959" w:themeColor="text1" w:themeTint="A6"/>
          <w:sz w:val="28"/>
          <w:szCs w:val="28"/>
        </w:rPr>
        <w:t>resident</w:t>
      </w:r>
      <w:r w:rsidR="00FA2279">
        <w:rPr>
          <w:rFonts w:ascii="Garamond" w:eastAsia="Calibri" w:hAnsi="Garamond" w:cs="Times New Roman"/>
          <w:color w:val="595959" w:themeColor="text1" w:themeTint="A6"/>
          <w:sz w:val="28"/>
          <w:szCs w:val="28"/>
        </w:rPr>
        <w:t>ial election</w:t>
      </w:r>
      <w:r w:rsidR="001E2F9C">
        <w:rPr>
          <w:rFonts w:ascii="Garamond" w:eastAsia="Calibri" w:hAnsi="Garamond" w:cs="Times New Roman"/>
          <w:color w:val="595959" w:themeColor="text1" w:themeTint="A6"/>
          <w:sz w:val="28"/>
          <w:szCs w:val="28"/>
        </w:rPr>
        <w:t xml:space="preserve">. </w:t>
      </w:r>
      <w:r w:rsidR="00ED34C4">
        <w:rPr>
          <w:rFonts w:ascii="Garamond" w:eastAsia="Calibri" w:hAnsi="Garamond" w:cs="Times New Roman"/>
          <w:color w:val="595959" w:themeColor="text1" w:themeTint="A6"/>
          <w:sz w:val="28"/>
          <w:szCs w:val="28"/>
        </w:rPr>
        <w:t xml:space="preserve">Rates had entered the </w:t>
      </w:r>
      <w:r w:rsidR="008A21DB">
        <w:rPr>
          <w:rFonts w:ascii="Garamond" w:eastAsia="Calibri" w:hAnsi="Garamond" w:cs="Times New Roman"/>
          <w:color w:val="595959" w:themeColor="text1" w:themeTint="A6"/>
          <w:sz w:val="28"/>
          <w:szCs w:val="28"/>
        </w:rPr>
        <w:t>quarter on a slow</w:t>
      </w:r>
      <w:r w:rsidR="00ED34C4">
        <w:rPr>
          <w:rFonts w:ascii="Garamond" w:eastAsia="Calibri" w:hAnsi="Garamond" w:cs="Times New Roman"/>
          <w:color w:val="595959" w:themeColor="text1" w:themeTint="A6"/>
          <w:sz w:val="28"/>
          <w:szCs w:val="28"/>
        </w:rPr>
        <w:t xml:space="preserve"> upward trajectory as improving economic data suggested that a rate increase would be more likely during the December FOMC meeting. However, f</w:t>
      </w:r>
      <w:r w:rsidRPr="00915BDD">
        <w:rPr>
          <w:rFonts w:ascii="Garamond" w:eastAsia="Calibri" w:hAnsi="Garamond" w:cs="Times New Roman"/>
          <w:color w:val="595959" w:themeColor="text1" w:themeTint="A6"/>
          <w:sz w:val="28"/>
          <w:szCs w:val="28"/>
        </w:rPr>
        <w:t>ollowing Donald Trump’s vict</w:t>
      </w:r>
      <w:r w:rsidR="00ED34C4">
        <w:rPr>
          <w:rFonts w:ascii="Garamond" w:eastAsia="Calibri" w:hAnsi="Garamond" w:cs="Times New Roman"/>
          <w:color w:val="595959" w:themeColor="text1" w:themeTint="A6"/>
          <w:sz w:val="28"/>
          <w:szCs w:val="28"/>
        </w:rPr>
        <w:t>ory</w:t>
      </w:r>
      <w:r w:rsidRPr="00915BDD">
        <w:rPr>
          <w:rFonts w:ascii="Garamond" w:eastAsia="Calibri" w:hAnsi="Garamond" w:cs="Times New Roman"/>
          <w:color w:val="595959" w:themeColor="text1" w:themeTint="A6"/>
          <w:sz w:val="28"/>
          <w:szCs w:val="28"/>
        </w:rPr>
        <w:t xml:space="preserve"> the market imme</w:t>
      </w:r>
      <w:r w:rsidR="00C977A0">
        <w:rPr>
          <w:rFonts w:ascii="Garamond" w:eastAsia="Calibri" w:hAnsi="Garamond" w:cs="Times New Roman"/>
          <w:color w:val="595959" w:themeColor="text1" w:themeTint="A6"/>
          <w:sz w:val="28"/>
          <w:szCs w:val="28"/>
        </w:rPr>
        <w:t xml:space="preserve">diately began to price in </w:t>
      </w:r>
      <w:r w:rsidRPr="00915BDD">
        <w:rPr>
          <w:rFonts w:ascii="Garamond" w:eastAsia="Calibri" w:hAnsi="Garamond" w:cs="Times New Roman"/>
          <w:color w:val="595959" w:themeColor="text1" w:themeTint="A6"/>
          <w:sz w:val="28"/>
          <w:szCs w:val="28"/>
        </w:rPr>
        <w:t xml:space="preserve">the anticipated impact of his policy proposals on economic growth and inflation, sending Treasury yields </w:t>
      </w:r>
      <w:r w:rsidR="00C977A0">
        <w:rPr>
          <w:rFonts w:ascii="Garamond" w:eastAsia="Calibri" w:hAnsi="Garamond" w:cs="Times New Roman"/>
          <w:color w:val="595959" w:themeColor="text1" w:themeTint="A6"/>
          <w:sz w:val="28"/>
          <w:szCs w:val="28"/>
        </w:rPr>
        <w:t xml:space="preserve">significantly </w:t>
      </w:r>
      <w:r w:rsidRPr="00915BDD">
        <w:rPr>
          <w:rFonts w:ascii="Garamond" w:eastAsia="Calibri" w:hAnsi="Garamond" w:cs="Times New Roman"/>
          <w:color w:val="595959" w:themeColor="text1" w:themeTint="A6"/>
          <w:sz w:val="28"/>
          <w:szCs w:val="28"/>
        </w:rPr>
        <w:t>higher</w:t>
      </w:r>
      <w:r w:rsidR="00C977A0">
        <w:rPr>
          <w:rFonts w:ascii="Garamond" w:eastAsia="Calibri" w:hAnsi="Garamond" w:cs="Times New Roman"/>
          <w:color w:val="595959" w:themeColor="text1" w:themeTint="A6"/>
          <w:sz w:val="28"/>
          <w:szCs w:val="28"/>
        </w:rPr>
        <w:t xml:space="preserve"> in just a few trading sessions</w:t>
      </w:r>
      <w:r w:rsidRPr="00915BDD">
        <w:rPr>
          <w:rFonts w:ascii="Garamond" w:eastAsia="Calibri" w:hAnsi="Garamond" w:cs="Times New Roman"/>
          <w:color w:val="595959" w:themeColor="text1" w:themeTint="A6"/>
          <w:sz w:val="28"/>
          <w:szCs w:val="28"/>
        </w:rPr>
        <w:t>. Exacerbating this upward move in yields was continued Republican control o</w:t>
      </w:r>
      <w:r w:rsidR="00C977A0">
        <w:rPr>
          <w:rFonts w:ascii="Garamond" w:eastAsia="Calibri" w:hAnsi="Garamond" w:cs="Times New Roman"/>
          <w:color w:val="595959" w:themeColor="text1" w:themeTint="A6"/>
          <w:sz w:val="28"/>
          <w:szCs w:val="28"/>
        </w:rPr>
        <w:t>f Congress, which suggested</w:t>
      </w:r>
      <w:r w:rsidRPr="00915BDD">
        <w:rPr>
          <w:rFonts w:ascii="Garamond" w:eastAsia="Calibri" w:hAnsi="Garamond" w:cs="Times New Roman"/>
          <w:color w:val="595959" w:themeColor="text1" w:themeTint="A6"/>
          <w:sz w:val="28"/>
          <w:szCs w:val="28"/>
        </w:rPr>
        <w:t xml:space="preserve"> that many of the pro-growth policies</w:t>
      </w:r>
      <w:r w:rsidR="00C977A0">
        <w:rPr>
          <w:rFonts w:ascii="Garamond" w:eastAsia="Calibri" w:hAnsi="Garamond" w:cs="Times New Roman"/>
          <w:color w:val="595959" w:themeColor="text1" w:themeTint="A6"/>
          <w:sz w:val="28"/>
          <w:szCs w:val="28"/>
        </w:rPr>
        <w:t xml:space="preserve"> articulated by Trump during his</w:t>
      </w:r>
      <w:r w:rsidRPr="00915BDD">
        <w:rPr>
          <w:rFonts w:ascii="Garamond" w:eastAsia="Calibri" w:hAnsi="Garamond" w:cs="Times New Roman"/>
          <w:color w:val="595959" w:themeColor="text1" w:themeTint="A6"/>
          <w:sz w:val="28"/>
          <w:szCs w:val="28"/>
        </w:rPr>
        <w:t xml:space="preserve"> campaign (fiscal stimulus and tax cuts</w:t>
      </w:r>
      <w:r w:rsidR="00C977A0">
        <w:rPr>
          <w:rFonts w:ascii="Garamond" w:eastAsia="Calibri" w:hAnsi="Garamond" w:cs="Times New Roman"/>
          <w:color w:val="595959" w:themeColor="text1" w:themeTint="A6"/>
          <w:sz w:val="28"/>
          <w:szCs w:val="28"/>
        </w:rPr>
        <w:t>, in particular) would have a strong chance of being</w:t>
      </w:r>
      <w:r w:rsidRPr="00915BDD">
        <w:rPr>
          <w:rFonts w:ascii="Garamond" w:eastAsia="Calibri" w:hAnsi="Garamond" w:cs="Times New Roman"/>
          <w:color w:val="595959" w:themeColor="text1" w:themeTint="A6"/>
          <w:sz w:val="28"/>
          <w:szCs w:val="28"/>
        </w:rPr>
        <w:t xml:space="preserve"> implemented. </w:t>
      </w:r>
    </w:p>
    <w:p w:rsidR="00C977A0" w:rsidRPr="00915BDD" w:rsidRDefault="00C977A0" w:rsidP="00915BDD">
      <w:pPr>
        <w:spacing w:after="0" w:line="240" w:lineRule="auto"/>
        <w:jc w:val="both"/>
        <w:rPr>
          <w:rFonts w:ascii="Garamond" w:eastAsia="Calibri" w:hAnsi="Garamond" w:cs="Times New Roman"/>
          <w:color w:val="595959" w:themeColor="text1" w:themeTint="A6"/>
          <w:sz w:val="28"/>
          <w:szCs w:val="28"/>
        </w:rPr>
      </w:pPr>
    </w:p>
    <w:p w:rsidR="00EA74F2" w:rsidRDefault="008A21DB" w:rsidP="00915BDD">
      <w:pPr>
        <w:spacing w:after="0" w:line="240" w:lineRule="auto"/>
        <w:jc w:val="both"/>
        <w:rPr>
          <w:rFonts w:ascii="Garamond" w:eastAsia="Calibri" w:hAnsi="Garamond" w:cs="Times New Roman"/>
          <w:color w:val="595959" w:themeColor="text1" w:themeTint="A6"/>
          <w:sz w:val="28"/>
          <w:szCs w:val="28"/>
        </w:rPr>
      </w:pPr>
      <w:r>
        <w:rPr>
          <w:rFonts w:ascii="Garamond" w:eastAsia="Calibri" w:hAnsi="Garamond" w:cs="Times New Roman"/>
          <w:color w:val="595959" w:themeColor="text1" w:themeTint="A6"/>
          <w:sz w:val="28"/>
          <w:szCs w:val="28"/>
        </w:rPr>
        <w:t>As a result of the move in rates, fixed income returns for the quarter were negative for virtually every sector</w:t>
      </w:r>
      <w:r w:rsidR="00915BDD" w:rsidRPr="00915BDD">
        <w:rPr>
          <w:rFonts w:ascii="Garamond" w:eastAsia="Calibri" w:hAnsi="Garamond" w:cs="Times New Roman"/>
          <w:color w:val="595959" w:themeColor="text1" w:themeTint="A6"/>
          <w:sz w:val="28"/>
          <w:szCs w:val="28"/>
        </w:rPr>
        <w:t xml:space="preserve">. </w:t>
      </w:r>
      <w:r>
        <w:rPr>
          <w:rFonts w:ascii="Garamond" w:eastAsia="Calibri" w:hAnsi="Garamond" w:cs="Times New Roman"/>
          <w:color w:val="595959" w:themeColor="text1" w:themeTint="A6"/>
          <w:sz w:val="28"/>
          <w:szCs w:val="28"/>
        </w:rPr>
        <w:t>Treasuries were impacted the most</w:t>
      </w:r>
      <w:r w:rsidR="00915BDD" w:rsidRPr="003030E8">
        <w:rPr>
          <w:rFonts w:ascii="Garamond" w:eastAsia="Calibri" w:hAnsi="Garamond" w:cs="Times New Roman"/>
          <w:color w:val="595959" w:themeColor="text1" w:themeTint="A6"/>
          <w:sz w:val="28"/>
          <w:szCs w:val="28"/>
        </w:rPr>
        <w:t>, with the 10yr Treasury losing</w:t>
      </w:r>
      <w:r w:rsidR="00F97E0B" w:rsidRPr="003030E8">
        <w:rPr>
          <w:rFonts w:ascii="Garamond" w:eastAsia="Calibri" w:hAnsi="Garamond" w:cs="Times New Roman"/>
          <w:color w:val="595959" w:themeColor="text1" w:themeTint="A6"/>
          <w:sz w:val="28"/>
          <w:szCs w:val="28"/>
        </w:rPr>
        <w:t xml:space="preserve"> 6.93% during the quarter </w:t>
      </w:r>
      <w:r w:rsidR="00705144">
        <w:rPr>
          <w:rFonts w:ascii="Garamond" w:eastAsia="Calibri" w:hAnsi="Garamond" w:cs="Times New Roman"/>
          <w:color w:val="595959" w:themeColor="text1" w:themeTint="A6"/>
          <w:sz w:val="28"/>
          <w:szCs w:val="28"/>
        </w:rPr>
        <w:t xml:space="preserve">(its worst quarterly return </w:t>
      </w:r>
      <w:r w:rsidR="00FA2279">
        <w:rPr>
          <w:rFonts w:ascii="Garamond" w:eastAsia="Calibri" w:hAnsi="Garamond" w:cs="Times New Roman"/>
          <w:color w:val="595959" w:themeColor="text1" w:themeTint="A6"/>
          <w:sz w:val="28"/>
          <w:szCs w:val="28"/>
        </w:rPr>
        <w:t>since Q3 1980</w:t>
      </w:r>
      <w:r w:rsidR="00705144">
        <w:rPr>
          <w:rFonts w:ascii="Garamond" w:eastAsia="Calibri" w:hAnsi="Garamond" w:cs="Times New Roman"/>
          <w:color w:val="595959" w:themeColor="text1" w:themeTint="A6"/>
          <w:sz w:val="28"/>
          <w:szCs w:val="28"/>
        </w:rPr>
        <w:t xml:space="preserve">) </w:t>
      </w:r>
      <w:r w:rsidR="00F97E0B" w:rsidRPr="003030E8">
        <w:rPr>
          <w:rFonts w:ascii="Garamond" w:eastAsia="Calibri" w:hAnsi="Garamond" w:cs="Times New Roman"/>
          <w:color w:val="595959" w:themeColor="text1" w:themeTint="A6"/>
          <w:sz w:val="28"/>
          <w:szCs w:val="28"/>
        </w:rPr>
        <w:t>as its</w:t>
      </w:r>
      <w:r w:rsidR="00915BDD" w:rsidRPr="003030E8">
        <w:rPr>
          <w:rFonts w:ascii="Garamond" w:eastAsia="Calibri" w:hAnsi="Garamond" w:cs="Times New Roman"/>
          <w:color w:val="595959" w:themeColor="text1" w:themeTint="A6"/>
          <w:sz w:val="28"/>
          <w:szCs w:val="28"/>
        </w:rPr>
        <w:t xml:space="preserve"> yield rose 85 bps</w:t>
      </w:r>
      <w:r w:rsidR="00F97E0B" w:rsidRPr="003030E8">
        <w:rPr>
          <w:rFonts w:ascii="Garamond" w:eastAsia="Calibri" w:hAnsi="Garamond" w:cs="Times New Roman"/>
          <w:color w:val="595959" w:themeColor="text1" w:themeTint="A6"/>
          <w:sz w:val="28"/>
          <w:szCs w:val="28"/>
        </w:rPr>
        <w:t>, from 1.60</w:t>
      </w:r>
      <w:r w:rsidR="00915BDD" w:rsidRPr="003030E8">
        <w:rPr>
          <w:rFonts w:ascii="Garamond" w:eastAsia="Calibri" w:hAnsi="Garamond" w:cs="Times New Roman"/>
          <w:color w:val="595959" w:themeColor="text1" w:themeTint="A6"/>
          <w:sz w:val="28"/>
          <w:szCs w:val="28"/>
        </w:rPr>
        <w:t xml:space="preserve">% to </w:t>
      </w:r>
      <w:r w:rsidR="00F97E0B" w:rsidRPr="003030E8">
        <w:rPr>
          <w:rFonts w:ascii="Garamond" w:eastAsia="Calibri" w:hAnsi="Garamond" w:cs="Times New Roman"/>
          <w:color w:val="595959" w:themeColor="text1" w:themeTint="A6"/>
          <w:sz w:val="28"/>
          <w:szCs w:val="28"/>
        </w:rPr>
        <w:t>2.45</w:t>
      </w:r>
      <w:r w:rsidR="00915BDD" w:rsidRPr="003030E8">
        <w:rPr>
          <w:rFonts w:ascii="Garamond" w:eastAsia="Calibri" w:hAnsi="Garamond" w:cs="Times New Roman"/>
          <w:color w:val="595959" w:themeColor="text1" w:themeTint="A6"/>
          <w:sz w:val="28"/>
          <w:szCs w:val="28"/>
        </w:rPr>
        <w:t xml:space="preserve">%. </w:t>
      </w:r>
      <w:r w:rsidR="006F4686">
        <w:rPr>
          <w:rFonts w:ascii="Garamond" w:eastAsia="Calibri" w:hAnsi="Garamond" w:cs="Times New Roman"/>
          <w:color w:val="595959" w:themeColor="text1" w:themeTint="A6"/>
          <w:sz w:val="28"/>
          <w:szCs w:val="28"/>
        </w:rPr>
        <w:t xml:space="preserve"> M</w:t>
      </w:r>
      <w:r w:rsidR="00915BDD" w:rsidRPr="003030E8">
        <w:rPr>
          <w:rFonts w:ascii="Garamond" w:eastAsia="Calibri" w:hAnsi="Garamond" w:cs="Times New Roman"/>
          <w:color w:val="595959" w:themeColor="text1" w:themeTint="A6"/>
          <w:sz w:val="28"/>
          <w:szCs w:val="28"/>
        </w:rPr>
        <w:t>unicipal</w:t>
      </w:r>
      <w:r w:rsidR="00353B29">
        <w:rPr>
          <w:rFonts w:ascii="Garamond" w:eastAsia="Calibri" w:hAnsi="Garamond" w:cs="Times New Roman"/>
          <w:color w:val="595959" w:themeColor="text1" w:themeTint="A6"/>
          <w:sz w:val="28"/>
          <w:szCs w:val="28"/>
        </w:rPr>
        <w:t xml:space="preserve"> bonds were also impacted</w:t>
      </w:r>
      <w:r w:rsidR="006F4686">
        <w:rPr>
          <w:rFonts w:ascii="Garamond" w:eastAsia="Calibri" w:hAnsi="Garamond" w:cs="Times New Roman"/>
          <w:color w:val="595959" w:themeColor="text1" w:themeTint="A6"/>
          <w:sz w:val="28"/>
          <w:szCs w:val="28"/>
        </w:rPr>
        <w:t xml:space="preserve"> as campaign proposals to reduce tax rates </w:t>
      </w:r>
      <w:r w:rsidR="00353B29">
        <w:rPr>
          <w:rFonts w:ascii="Garamond" w:eastAsia="Calibri" w:hAnsi="Garamond" w:cs="Times New Roman"/>
          <w:color w:val="595959" w:themeColor="text1" w:themeTint="A6"/>
          <w:sz w:val="28"/>
          <w:szCs w:val="28"/>
        </w:rPr>
        <w:t>caused</w:t>
      </w:r>
      <w:r w:rsidR="006F4686">
        <w:rPr>
          <w:rFonts w:ascii="Garamond" w:eastAsia="Calibri" w:hAnsi="Garamond" w:cs="Times New Roman"/>
          <w:color w:val="595959" w:themeColor="text1" w:themeTint="A6"/>
          <w:sz w:val="28"/>
          <w:szCs w:val="28"/>
        </w:rPr>
        <w:t xml:space="preserve"> investor concern that</w:t>
      </w:r>
      <w:r w:rsidR="00EA74F2">
        <w:rPr>
          <w:rFonts w:ascii="Garamond" w:eastAsia="Calibri" w:hAnsi="Garamond" w:cs="Times New Roman"/>
          <w:color w:val="595959" w:themeColor="text1" w:themeTint="A6"/>
          <w:sz w:val="28"/>
          <w:szCs w:val="28"/>
        </w:rPr>
        <w:t xml:space="preserve"> tax-</w:t>
      </w:r>
      <w:r w:rsidR="006F4686">
        <w:rPr>
          <w:rFonts w:ascii="Garamond" w:eastAsia="Calibri" w:hAnsi="Garamond" w:cs="Times New Roman"/>
          <w:color w:val="595959" w:themeColor="text1" w:themeTint="A6"/>
          <w:sz w:val="28"/>
          <w:szCs w:val="28"/>
        </w:rPr>
        <w:t>exe</w:t>
      </w:r>
      <w:r w:rsidR="00353B29">
        <w:rPr>
          <w:rFonts w:ascii="Garamond" w:eastAsia="Calibri" w:hAnsi="Garamond" w:cs="Times New Roman"/>
          <w:color w:val="595959" w:themeColor="text1" w:themeTint="A6"/>
          <w:sz w:val="28"/>
          <w:szCs w:val="28"/>
        </w:rPr>
        <w:t>mpt income would lose its value</w:t>
      </w:r>
      <w:r w:rsidR="006F4686">
        <w:rPr>
          <w:rFonts w:ascii="Garamond" w:eastAsia="Calibri" w:hAnsi="Garamond" w:cs="Times New Roman"/>
          <w:color w:val="595959" w:themeColor="text1" w:themeTint="A6"/>
          <w:sz w:val="28"/>
          <w:szCs w:val="28"/>
        </w:rPr>
        <w:t>.</w:t>
      </w:r>
      <w:r w:rsidR="00915BDD" w:rsidRPr="003030E8">
        <w:rPr>
          <w:rFonts w:ascii="Garamond" w:eastAsia="Calibri" w:hAnsi="Garamond" w:cs="Times New Roman"/>
          <w:color w:val="595959" w:themeColor="text1" w:themeTint="A6"/>
          <w:sz w:val="28"/>
          <w:szCs w:val="28"/>
        </w:rPr>
        <w:t xml:space="preserve"> Corporate credit, while still experiencing negative returns, was helped by spread tightening caused</w:t>
      </w:r>
      <w:r w:rsidR="003030E8" w:rsidRPr="003030E8">
        <w:rPr>
          <w:rFonts w:ascii="Garamond" w:eastAsia="Calibri" w:hAnsi="Garamond" w:cs="Times New Roman"/>
          <w:color w:val="595959" w:themeColor="text1" w:themeTint="A6"/>
          <w:sz w:val="28"/>
          <w:szCs w:val="28"/>
        </w:rPr>
        <w:t xml:space="preserve"> primarily </w:t>
      </w:r>
      <w:r w:rsidR="00915BDD" w:rsidRPr="003030E8">
        <w:rPr>
          <w:rFonts w:ascii="Garamond" w:eastAsia="Calibri" w:hAnsi="Garamond" w:cs="Times New Roman"/>
          <w:color w:val="595959" w:themeColor="text1" w:themeTint="A6"/>
          <w:sz w:val="28"/>
          <w:szCs w:val="28"/>
        </w:rPr>
        <w:t>by the post-election risk-on trade.</w:t>
      </w:r>
      <w:r w:rsidR="00FE6B41">
        <w:rPr>
          <w:rFonts w:ascii="Garamond" w:eastAsia="Calibri" w:hAnsi="Garamond" w:cs="Times New Roman"/>
          <w:color w:val="595959" w:themeColor="text1" w:themeTint="A6"/>
          <w:sz w:val="28"/>
          <w:szCs w:val="28"/>
        </w:rPr>
        <w:t xml:space="preserve"> </w:t>
      </w:r>
      <w:r w:rsidR="00EA74F2">
        <w:rPr>
          <w:rFonts w:ascii="Garamond" w:eastAsia="Calibri" w:hAnsi="Garamond" w:cs="Times New Roman"/>
          <w:color w:val="595959" w:themeColor="text1" w:themeTint="A6"/>
          <w:sz w:val="28"/>
          <w:szCs w:val="28"/>
        </w:rPr>
        <w:t xml:space="preserve">In general, lower rated credits (high yield) performed the best as investors pursued riskier assets in the expectation of a pro-growth environment. </w:t>
      </w:r>
    </w:p>
    <w:p w:rsidR="00212B8F" w:rsidRDefault="00212B8F" w:rsidP="00915BDD">
      <w:pPr>
        <w:spacing w:after="0" w:line="240" w:lineRule="auto"/>
        <w:jc w:val="both"/>
        <w:rPr>
          <w:rFonts w:ascii="Garamond" w:eastAsia="Calibri" w:hAnsi="Garamond" w:cs="Times New Roman"/>
          <w:color w:val="595959" w:themeColor="text1" w:themeTint="A6"/>
          <w:sz w:val="28"/>
          <w:szCs w:val="28"/>
        </w:rPr>
      </w:pPr>
    </w:p>
    <w:p w:rsidR="00212B8F" w:rsidRDefault="00446A0B" w:rsidP="00915BDD">
      <w:pPr>
        <w:spacing w:after="0" w:line="240" w:lineRule="auto"/>
        <w:jc w:val="both"/>
        <w:rPr>
          <w:rFonts w:ascii="Garamond" w:eastAsia="Calibri" w:hAnsi="Garamond" w:cs="Times New Roman"/>
          <w:color w:val="595959" w:themeColor="text1" w:themeTint="A6"/>
          <w:sz w:val="28"/>
          <w:szCs w:val="28"/>
        </w:rPr>
      </w:pPr>
      <w:r>
        <w:rPr>
          <w:rFonts w:ascii="Garamond" w:eastAsia="Calibri" w:hAnsi="Garamond" w:cs="Times New Roman"/>
          <w:color w:val="595959" w:themeColor="text1" w:themeTint="A6"/>
          <w:sz w:val="28"/>
          <w:szCs w:val="28"/>
        </w:rPr>
        <w:t>The market</w:t>
      </w:r>
      <w:r w:rsidR="00FE6B41">
        <w:rPr>
          <w:rFonts w:ascii="Garamond" w:eastAsia="Calibri" w:hAnsi="Garamond" w:cs="Times New Roman"/>
          <w:color w:val="595959" w:themeColor="text1" w:themeTint="A6"/>
          <w:sz w:val="28"/>
          <w:szCs w:val="28"/>
        </w:rPr>
        <w:t>’</w:t>
      </w:r>
      <w:r>
        <w:rPr>
          <w:rFonts w:ascii="Garamond" w:eastAsia="Calibri" w:hAnsi="Garamond" w:cs="Times New Roman"/>
          <w:color w:val="595959" w:themeColor="text1" w:themeTint="A6"/>
          <w:sz w:val="28"/>
          <w:szCs w:val="28"/>
        </w:rPr>
        <w:t>s initial reaction suggested investors believed all of Trump</w:t>
      </w:r>
      <w:r w:rsidR="00FE6B41">
        <w:rPr>
          <w:rFonts w:ascii="Garamond" w:eastAsia="Calibri" w:hAnsi="Garamond" w:cs="Times New Roman"/>
          <w:color w:val="595959" w:themeColor="text1" w:themeTint="A6"/>
          <w:sz w:val="28"/>
          <w:szCs w:val="28"/>
        </w:rPr>
        <w:t>’</w:t>
      </w:r>
      <w:r>
        <w:rPr>
          <w:rFonts w:ascii="Garamond" w:eastAsia="Calibri" w:hAnsi="Garamond" w:cs="Times New Roman"/>
          <w:color w:val="595959" w:themeColor="text1" w:themeTint="A6"/>
          <w:sz w:val="28"/>
          <w:szCs w:val="28"/>
        </w:rPr>
        <w:t>s campaign proposals would be enacted as articulated r</w:t>
      </w:r>
      <w:r w:rsidR="00FA2279">
        <w:rPr>
          <w:rFonts w:ascii="Garamond" w:eastAsia="Calibri" w:hAnsi="Garamond" w:cs="Times New Roman"/>
          <w:color w:val="595959" w:themeColor="text1" w:themeTint="A6"/>
          <w:sz w:val="28"/>
          <w:szCs w:val="28"/>
        </w:rPr>
        <w:t>esulting in strong growth and</w:t>
      </w:r>
      <w:r>
        <w:rPr>
          <w:rFonts w:ascii="Garamond" w:eastAsia="Calibri" w:hAnsi="Garamond" w:cs="Times New Roman"/>
          <w:color w:val="595959" w:themeColor="text1" w:themeTint="A6"/>
          <w:sz w:val="28"/>
          <w:szCs w:val="28"/>
        </w:rPr>
        <w:t xml:space="preserve"> increased inflation. As we enter 2017 the market appears to have settled into a trading range with more of a “show me” attitude towards what campaign proposals may or may not become policy. </w:t>
      </w:r>
      <w:r w:rsidR="003C71A8">
        <w:rPr>
          <w:rFonts w:ascii="Garamond" w:eastAsia="Calibri" w:hAnsi="Garamond" w:cs="Times New Roman"/>
          <w:color w:val="595959" w:themeColor="text1" w:themeTint="A6"/>
          <w:sz w:val="28"/>
          <w:szCs w:val="28"/>
        </w:rPr>
        <w:t xml:space="preserve">The market now has to decide if the change from monetary stimulus to fiscal stimulus will result in growth signaling the beginning of a secular trend to higher rates. </w:t>
      </w:r>
    </w:p>
    <w:p w:rsidR="00915BDD" w:rsidRPr="00915BDD" w:rsidRDefault="00915BDD" w:rsidP="00915BDD">
      <w:pPr>
        <w:spacing w:after="0" w:line="240" w:lineRule="auto"/>
        <w:jc w:val="both"/>
        <w:rPr>
          <w:rFonts w:ascii="Garamond" w:eastAsia="Calibri" w:hAnsi="Garamond" w:cs="Times New Roman"/>
          <w:color w:val="595959" w:themeColor="text1" w:themeTint="A6"/>
          <w:sz w:val="28"/>
          <w:szCs w:val="28"/>
        </w:rPr>
      </w:pPr>
    </w:p>
    <w:p w:rsidR="004F377F" w:rsidRPr="00484B2B" w:rsidRDefault="00484B2B" w:rsidP="00E45E75">
      <w:pPr>
        <w:pBdr>
          <w:bottom w:val="single" w:sz="4" w:space="1" w:color="31849B" w:themeColor="accent5" w:themeShade="BF"/>
        </w:pBdr>
        <w:spacing w:after="0" w:line="240" w:lineRule="auto"/>
        <w:rPr>
          <w:rFonts w:ascii="Times New Roman" w:hAnsi="Times New Roman" w:cs="Times New Roman"/>
          <w:b/>
          <w:color w:val="215868" w:themeColor="accent5" w:themeShade="80"/>
          <w:sz w:val="40"/>
        </w:rPr>
      </w:pPr>
      <w:r w:rsidRPr="00484B2B">
        <w:rPr>
          <w:rFonts w:ascii="Times New Roman" w:hAnsi="Times New Roman" w:cs="Times New Roman"/>
          <w:b/>
          <w:color w:val="215868" w:themeColor="accent5" w:themeShade="80"/>
          <w:sz w:val="40"/>
        </w:rPr>
        <w:t>Economy, Markets, and FOMC</w:t>
      </w:r>
    </w:p>
    <w:p w:rsidR="00097A0A" w:rsidRPr="00097A0A" w:rsidRDefault="00097A0A" w:rsidP="0077476F">
      <w:pPr>
        <w:tabs>
          <w:tab w:val="left" w:pos="720"/>
        </w:tabs>
        <w:spacing w:after="0" w:line="240" w:lineRule="auto"/>
        <w:jc w:val="both"/>
        <w:rPr>
          <w:rFonts w:ascii="Garamond" w:eastAsia="Calibri" w:hAnsi="Garamond" w:cs="Times New Roman"/>
          <w:color w:val="595959" w:themeColor="text1" w:themeTint="A6"/>
          <w:sz w:val="14"/>
          <w:szCs w:val="14"/>
        </w:rPr>
      </w:pPr>
    </w:p>
    <w:p w:rsidR="00F82692" w:rsidRDefault="00F82692" w:rsidP="00097A0A">
      <w:pPr>
        <w:tabs>
          <w:tab w:val="left" w:pos="720"/>
        </w:tabs>
        <w:spacing w:after="0" w:line="240" w:lineRule="auto"/>
        <w:jc w:val="both"/>
        <w:rPr>
          <w:rFonts w:ascii="Garamond" w:eastAsia="Calibri" w:hAnsi="Garamond" w:cs="Times New Roman"/>
          <w:color w:val="595959" w:themeColor="text1" w:themeTint="A6"/>
          <w:sz w:val="28"/>
          <w:szCs w:val="28"/>
        </w:rPr>
      </w:pPr>
      <w:r>
        <w:rPr>
          <w:rFonts w:ascii="Garamond" w:eastAsia="Calibri" w:hAnsi="Garamond" w:cs="Times New Roman"/>
          <w:color w:val="595959" w:themeColor="text1" w:themeTint="A6"/>
          <w:sz w:val="28"/>
          <w:szCs w:val="28"/>
        </w:rPr>
        <w:t xml:space="preserve">While the US election remained a primary focus during the quarter, the US economy quietly put together some of its best economic data in some time. Third quarter GDP came in at 3.5%, a big jump from the approximately 1% growth rate seen in the first half of the year. </w:t>
      </w:r>
      <w:r w:rsidR="003C71A8">
        <w:rPr>
          <w:rFonts w:ascii="Garamond" w:eastAsia="Calibri" w:hAnsi="Garamond" w:cs="Times New Roman"/>
          <w:color w:val="595959" w:themeColor="text1" w:themeTint="A6"/>
          <w:sz w:val="28"/>
          <w:szCs w:val="28"/>
        </w:rPr>
        <w:t>The labor market remained solid</w:t>
      </w:r>
      <w:r>
        <w:rPr>
          <w:rFonts w:ascii="Garamond" w:eastAsia="Calibri" w:hAnsi="Garamond" w:cs="Times New Roman"/>
          <w:color w:val="595959" w:themeColor="text1" w:themeTint="A6"/>
          <w:sz w:val="28"/>
          <w:szCs w:val="28"/>
        </w:rPr>
        <w:t>, with non-farm payrolls averaging 176,000/month and the unemployment rate continuing its downward trend at 4.6%. C</w:t>
      </w:r>
      <w:r w:rsidR="001624E0">
        <w:rPr>
          <w:rFonts w:ascii="Garamond" w:eastAsia="Calibri" w:hAnsi="Garamond" w:cs="Times New Roman"/>
          <w:color w:val="595959" w:themeColor="text1" w:themeTint="A6"/>
          <w:sz w:val="28"/>
          <w:szCs w:val="28"/>
        </w:rPr>
        <w:t>onsumer confidence rose at the end of th</w:t>
      </w:r>
      <w:r w:rsidR="003C71A8">
        <w:rPr>
          <w:rFonts w:ascii="Garamond" w:eastAsia="Calibri" w:hAnsi="Garamond" w:cs="Times New Roman"/>
          <w:color w:val="595959" w:themeColor="text1" w:themeTint="A6"/>
          <w:sz w:val="28"/>
          <w:szCs w:val="28"/>
        </w:rPr>
        <w:t xml:space="preserve">e quarter with </w:t>
      </w:r>
      <w:r w:rsidR="001624E0">
        <w:rPr>
          <w:rFonts w:ascii="Garamond" w:eastAsia="Calibri" w:hAnsi="Garamond" w:cs="Times New Roman"/>
          <w:color w:val="595959" w:themeColor="text1" w:themeTint="A6"/>
          <w:sz w:val="28"/>
          <w:szCs w:val="28"/>
        </w:rPr>
        <w:t>retail sales data</w:t>
      </w:r>
      <w:r w:rsidR="003C71A8">
        <w:rPr>
          <w:rFonts w:ascii="Garamond" w:eastAsia="Calibri" w:hAnsi="Garamond" w:cs="Times New Roman"/>
          <w:color w:val="595959" w:themeColor="text1" w:themeTint="A6"/>
          <w:sz w:val="28"/>
          <w:szCs w:val="28"/>
        </w:rPr>
        <w:t xml:space="preserve"> showing improvement</w:t>
      </w:r>
      <w:r w:rsidR="001624E0">
        <w:rPr>
          <w:rFonts w:ascii="Garamond" w:eastAsia="Calibri" w:hAnsi="Garamond" w:cs="Times New Roman"/>
          <w:color w:val="595959" w:themeColor="text1" w:themeTint="A6"/>
          <w:sz w:val="28"/>
          <w:szCs w:val="28"/>
        </w:rPr>
        <w:t>, an indication that consumption should continue to support growth.</w:t>
      </w:r>
    </w:p>
    <w:p w:rsidR="00FE6B41" w:rsidRDefault="00FE6B41" w:rsidP="00097A0A">
      <w:pPr>
        <w:tabs>
          <w:tab w:val="left" w:pos="720"/>
        </w:tabs>
        <w:spacing w:after="0" w:line="240" w:lineRule="auto"/>
        <w:jc w:val="both"/>
        <w:rPr>
          <w:rFonts w:ascii="Garamond" w:eastAsia="Calibri" w:hAnsi="Garamond" w:cs="Times New Roman"/>
          <w:color w:val="595959" w:themeColor="text1" w:themeTint="A6"/>
          <w:sz w:val="28"/>
          <w:szCs w:val="28"/>
        </w:rPr>
      </w:pPr>
    </w:p>
    <w:p w:rsidR="001624E0" w:rsidRDefault="001624E0" w:rsidP="00097A0A">
      <w:pPr>
        <w:tabs>
          <w:tab w:val="left" w:pos="720"/>
        </w:tabs>
        <w:spacing w:after="0" w:line="240" w:lineRule="auto"/>
        <w:jc w:val="both"/>
        <w:rPr>
          <w:rFonts w:ascii="Garamond" w:eastAsia="Calibri" w:hAnsi="Garamond" w:cs="Times New Roman"/>
          <w:color w:val="595959" w:themeColor="text1" w:themeTint="A6"/>
          <w:sz w:val="28"/>
          <w:szCs w:val="28"/>
        </w:rPr>
      </w:pPr>
    </w:p>
    <w:p w:rsidR="00FA2279" w:rsidRDefault="00FA2279" w:rsidP="00097A0A">
      <w:pPr>
        <w:tabs>
          <w:tab w:val="left" w:pos="720"/>
        </w:tabs>
        <w:spacing w:after="0" w:line="240" w:lineRule="auto"/>
        <w:jc w:val="both"/>
        <w:rPr>
          <w:rFonts w:ascii="Garamond" w:eastAsia="Calibri" w:hAnsi="Garamond" w:cs="Times New Roman"/>
          <w:color w:val="595959" w:themeColor="text1" w:themeTint="A6"/>
          <w:sz w:val="28"/>
          <w:szCs w:val="28"/>
        </w:rPr>
      </w:pPr>
    </w:p>
    <w:p w:rsidR="001624E0" w:rsidRDefault="001624E0" w:rsidP="00097A0A">
      <w:pPr>
        <w:tabs>
          <w:tab w:val="left" w:pos="720"/>
        </w:tabs>
        <w:spacing w:after="0" w:line="240" w:lineRule="auto"/>
        <w:jc w:val="both"/>
        <w:rPr>
          <w:rFonts w:ascii="Garamond" w:eastAsia="Calibri" w:hAnsi="Garamond" w:cs="Times New Roman"/>
          <w:color w:val="595959" w:themeColor="text1" w:themeTint="A6"/>
          <w:sz w:val="28"/>
          <w:szCs w:val="28"/>
        </w:rPr>
      </w:pPr>
      <w:r>
        <w:rPr>
          <w:rFonts w:ascii="Garamond" w:eastAsia="Calibri" w:hAnsi="Garamond" w:cs="Times New Roman"/>
          <w:color w:val="595959" w:themeColor="text1" w:themeTint="A6"/>
          <w:sz w:val="28"/>
          <w:szCs w:val="28"/>
        </w:rPr>
        <w:t>The Federal Reser</w:t>
      </w:r>
      <w:r w:rsidR="00E75822">
        <w:rPr>
          <w:rFonts w:ascii="Garamond" w:eastAsia="Calibri" w:hAnsi="Garamond" w:cs="Times New Roman"/>
          <w:color w:val="595959" w:themeColor="text1" w:themeTint="A6"/>
          <w:sz w:val="28"/>
          <w:szCs w:val="28"/>
        </w:rPr>
        <w:t>ve raised the federal funds rate by 25 bps in December,</w:t>
      </w:r>
      <w:r w:rsidR="003C71A8">
        <w:rPr>
          <w:rFonts w:ascii="Garamond" w:eastAsia="Calibri" w:hAnsi="Garamond" w:cs="Times New Roman"/>
          <w:color w:val="595959" w:themeColor="text1" w:themeTint="A6"/>
          <w:sz w:val="28"/>
          <w:szCs w:val="28"/>
        </w:rPr>
        <w:t xml:space="preserve"> a move that was widely anticipated</w:t>
      </w:r>
      <w:r w:rsidR="00E75822">
        <w:rPr>
          <w:rFonts w:ascii="Garamond" w:eastAsia="Calibri" w:hAnsi="Garamond" w:cs="Times New Roman"/>
          <w:color w:val="595959" w:themeColor="text1" w:themeTint="A6"/>
          <w:sz w:val="28"/>
          <w:szCs w:val="28"/>
        </w:rPr>
        <w:t>. Current FOMC projections are for an additional three rate hikes of 25 bps apiece in 2017. As has been the case, the Fed will remain highly dependent on economic data in determining</w:t>
      </w:r>
      <w:r w:rsidR="00F97E0B">
        <w:rPr>
          <w:rFonts w:ascii="Garamond" w:eastAsia="Calibri" w:hAnsi="Garamond" w:cs="Times New Roman"/>
          <w:color w:val="595959" w:themeColor="text1" w:themeTint="A6"/>
          <w:sz w:val="28"/>
          <w:szCs w:val="28"/>
        </w:rPr>
        <w:t xml:space="preserve"> the future path of rate hike</w:t>
      </w:r>
      <w:r w:rsidR="00FA2279">
        <w:rPr>
          <w:rFonts w:ascii="Garamond" w:eastAsia="Calibri" w:hAnsi="Garamond" w:cs="Times New Roman"/>
          <w:color w:val="595959" w:themeColor="text1" w:themeTint="A6"/>
          <w:sz w:val="28"/>
          <w:szCs w:val="28"/>
        </w:rPr>
        <w:t>s</w:t>
      </w:r>
      <w:r w:rsidR="00F97E0B">
        <w:rPr>
          <w:rFonts w:ascii="Garamond" w:eastAsia="Calibri" w:hAnsi="Garamond" w:cs="Times New Roman"/>
          <w:color w:val="595959" w:themeColor="text1" w:themeTint="A6"/>
          <w:sz w:val="28"/>
          <w:szCs w:val="28"/>
        </w:rPr>
        <w:t xml:space="preserve">. However, the committee may now take into consideration the potential impact of proposed fiscal stimulus on economic growth and inflation, which are primary drivers of interest rates. </w:t>
      </w:r>
      <w:r w:rsidR="003030E8">
        <w:rPr>
          <w:rFonts w:ascii="Garamond" w:eastAsia="Calibri" w:hAnsi="Garamond" w:cs="Times New Roman"/>
          <w:color w:val="595959" w:themeColor="text1" w:themeTint="A6"/>
          <w:sz w:val="28"/>
          <w:szCs w:val="28"/>
        </w:rPr>
        <w:t xml:space="preserve">Both the rise in Treasury yields and the strong dollar are already having a tightening effect on the economy, but nonetheless the trend continues to be one of gradually rising interest rates.  </w:t>
      </w:r>
    </w:p>
    <w:p w:rsidR="00B15D32" w:rsidRPr="0098711C" w:rsidRDefault="00B15D32" w:rsidP="00097A0A">
      <w:pPr>
        <w:tabs>
          <w:tab w:val="left" w:pos="720"/>
        </w:tabs>
        <w:spacing w:after="0" w:line="240" w:lineRule="auto"/>
        <w:jc w:val="both"/>
        <w:rPr>
          <w:rFonts w:ascii="Garamond" w:eastAsia="Calibri" w:hAnsi="Garamond" w:cs="Times New Roman"/>
          <w:color w:val="595959" w:themeColor="text1" w:themeTint="A6"/>
          <w:sz w:val="18"/>
          <w:szCs w:val="28"/>
        </w:rPr>
      </w:pPr>
    </w:p>
    <w:p w:rsidR="00581600" w:rsidRPr="00484B2B" w:rsidRDefault="00484B2B" w:rsidP="00E45E75">
      <w:pPr>
        <w:pBdr>
          <w:bottom w:val="single" w:sz="4" w:space="1" w:color="31849B" w:themeColor="accent5" w:themeShade="BF"/>
        </w:pBdr>
        <w:spacing w:after="0" w:line="240" w:lineRule="auto"/>
        <w:rPr>
          <w:rFonts w:ascii="Times New Roman" w:hAnsi="Times New Roman" w:cs="Times New Roman"/>
          <w:b/>
          <w:color w:val="215868" w:themeColor="accent5" w:themeShade="80"/>
          <w:sz w:val="40"/>
        </w:rPr>
      </w:pPr>
      <w:r w:rsidRPr="00484B2B">
        <w:rPr>
          <w:rFonts w:ascii="Times New Roman" w:hAnsi="Times New Roman" w:cs="Times New Roman"/>
          <w:b/>
          <w:color w:val="215868" w:themeColor="accent5" w:themeShade="80"/>
          <w:sz w:val="40"/>
        </w:rPr>
        <w:t>Taxable Market</w:t>
      </w:r>
    </w:p>
    <w:p w:rsidR="00B236E1" w:rsidRDefault="00B236E1" w:rsidP="00581600">
      <w:pPr>
        <w:tabs>
          <w:tab w:val="left" w:pos="720"/>
        </w:tabs>
        <w:spacing w:after="0" w:line="240" w:lineRule="auto"/>
        <w:jc w:val="both"/>
        <w:rPr>
          <w:rFonts w:ascii="Garamond" w:eastAsia="Calibri" w:hAnsi="Garamond" w:cs="Times New Roman"/>
          <w:b/>
          <w:sz w:val="4"/>
          <w:szCs w:val="4"/>
        </w:rPr>
      </w:pPr>
    </w:p>
    <w:p w:rsidR="007243D1" w:rsidRPr="007243D1" w:rsidRDefault="007243D1" w:rsidP="007243D1">
      <w:pPr>
        <w:spacing w:after="0" w:line="240" w:lineRule="auto"/>
        <w:ind w:left="630"/>
        <w:contextualSpacing/>
        <w:jc w:val="both"/>
        <w:rPr>
          <w:rFonts w:ascii="Garamond" w:eastAsia="Calibri" w:hAnsi="Garamond" w:cs="Times New Roman"/>
          <w:color w:val="595959" w:themeColor="text1" w:themeTint="A6"/>
          <w:sz w:val="14"/>
          <w:szCs w:val="14"/>
        </w:rPr>
      </w:pPr>
    </w:p>
    <w:p w:rsidR="00581600" w:rsidRPr="00484B2B" w:rsidRDefault="007C1931" w:rsidP="00484B2B">
      <w:pPr>
        <w:numPr>
          <w:ilvl w:val="0"/>
          <w:numId w:val="27"/>
        </w:numPr>
        <w:spacing w:after="0" w:line="240" w:lineRule="auto"/>
        <w:contextualSpacing/>
        <w:jc w:val="both"/>
        <w:rPr>
          <w:rFonts w:ascii="Garamond" w:eastAsia="Calibri" w:hAnsi="Garamond" w:cs="Times New Roman"/>
          <w:color w:val="595959" w:themeColor="text1" w:themeTint="A6"/>
          <w:szCs w:val="24"/>
        </w:rPr>
      </w:pPr>
      <w:r>
        <w:rPr>
          <w:rFonts w:ascii="Garamond" w:eastAsia="Calibri" w:hAnsi="Garamond" w:cs="Times New Roman"/>
          <w:b/>
          <w:color w:val="595959" w:themeColor="text1" w:themeTint="A6"/>
          <w:szCs w:val="24"/>
        </w:rPr>
        <w:t>The taxable market experienced its</w:t>
      </w:r>
      <w:r w:rsidR="006E5D02">
        <w:rPr>
          <w:rFonts w:ascii="Garamond" w:eastAsia="Calibri" w:hAnsi="Garamond" w:cs="Times New Roman"/>
          <w:b/>
          <w:color w:val="595959" w:themeColor="text1" w:themeTint="A6"/>
          <w:szCs w:val="24"/>
        </w:rPr>
        <w:t xml:space="preserve"> w</w:t>
      </w:r>
      <w:r w:rsidR="00FA2279">
        <w:rPr>
          <w:rFonts w:ascii="Garamond" w:eastAsia="Calibri" w:hAnsi="Garamond" w:cs="Times New Roman"/>
          <w:b/>
          <w:color w:val="595959" w:themeColor="text1" w:themeTint="A6"/>
          <w:szCs w:val="24"/>
        </w:rPr>
        <w:t xml:space="preserve">orst quarterly performance in </w:t>
      </w:r>
      <w:r>
        <w:rPr>
          <w:rFonts w:ascii="Garamond" w:eastAsia="Calibri" w:hAnsi="Garamond" w:cs="Times New Roman"/>
          <w:b/>
          <w:color w:val="595959" w:themeColor="text1" w:themeTint="A6"/>
          <w:szCs w:val="24"/>
        </w:rPr>
        <w:t>over 35</w:t>
      </w:r>
      <w:r w:rsidR="006E5D02">
        <w:rPr>
          <w:rFonts w:ascii="Garamond" w:eastAsia="Calibri" w:hAnsi="Garamond" w:cs="Times New Roman"/>
          <w:b/>
          <w:color w:val="595959" w:themeColor="text1" w:themeTint="A6"/>
          <w:szCs w:val="24"/>
        </w:rPr>
        <w:t xml:space="preserve"> years</w:t>
      </w:r>
    </w:p>
    <w:p w:rsidR="00D87687" w:rsidRPr="00AF7ECA" w:rsidRDefault="00D87687" w:rsidP="00D87687">
      <w:pPr>
        <w:spacing w:after="0" w:line="240" w:lineRule="auto"/>
        <w:ind w:left="720"/>
        <w:contextualSpacing/>
        <w:jc w:val="both"/>
        <w:rPr>
          <w:rFonts w:ascii="Garamond" w:eastAsia="Calibri" w:hAnsi="Garamond" w:cs="Times New Roman"/>
          <w:szCs w:val="24"/>
        </w:rPr>
      </w:pPr>
    </w:p>
    <w:p w:rsidR="0077476F" w:rsidRPr="00484B2B" w:rsidRDefault="00D25DD4" w:rsidP="00484B2B">
      <w:pPr>
        <w:numPr>
          <w:ilvl w:val="0"/>
          <w:numId w:val="27"/>
        </w:numPr>
        <w:spacing w:after="0" w:line="240" w:lineRule="auto"/>
        <w:contextualSpacing/>
        <w:jc w:val="both"/>
        <w:rPr>
          <w:rFonts w:ascii="Garamond" w:eastAsia="Calibri" w:hAnsi="Garamond" w:cs="Times New Roman"/>
          <w:color w:val="595959" w:themeColor="text1" w:themeTint="A6"/>
          <w:szCs w:val="24"/>
        </w:rPr>
      </w:pPr>
      <w:r>
        <w:rPr>
          <w:rFonts w:ascii="Garamond" w:eastAsia="Calibri" w:hAnsi="Garamond" w:cs="Times New Roman"/>
          <w:b/>
          <w:color w:val="595959" w:themeColor="text1" w:themeTint="A6"/>
          <w:szCs w:val="24"/>
        </w:rPr>
        <w:t>Shorter duration instruments outperformed the long-end, as the yield curve steepened</w:t>
      </w:r>
    </w:p>
    <w:p w:rsidR="00581600" w:rsidRPr="0077476F" w:rsidRDefault="00581600" w:rsidP="00484B2B">
      <w:pPr>
        <w:spacing w:after="0" w:line="240" w:lineRule="auto"/>
        <w:ind w:left="720" w:firstLine="60"/>
        <w:contextualSpacing/>
        <w:jc w:val="both"/>
        <w:rPr>
          <w:rFonts w:ascii="Garamond" w:eastAsia="Calibri" w:hAnsi="Garamond" w:cs="Times New Roman"/>
          <w:szCs w:val="24"/>
        </w:rPr>
      </w:pPr>
    </w:p>
    <w:p w:rsidR="00581600" w:rsidRPr="00484B2B" w:rsidRDefault="00D25DD4" w:rsidP="00484B2B">
      <w:pPr>
        <w:numPr>
          <w:ilvl w:val="0"/>
          <w:numId w:val="27"/>
        </w:numPr>
        <w:spacing w:after="0" w:line="240" w:lineRule="auto"/>
        <w:contextualSpacing/>
        <w:jc w:val="both"/>
        <w:rPr>
          <w:rFonts w:ascii="Garamond" w:eastAsia="Calibri" w:hAnsi="Garamond" w:cs="Times New Roman"/>
          <w:b/>
          <w:color w:val="595959" w:themeColor="text1" w:themeTint="A6"/>
          <w:szCs w:val="24"/>
        </w:rPr>
      </w:pPr>
      <w:r>
        <w:rPr>
          <w:rFonts w:ascii="Garamond" w:eastAsia="Calibri" w:hAnsi="Garamond" w:cs="Times New Roman"/>
          <w:b/>
          <w:color w:val="595959" w:themeColor="text1" w:themeTint="A6"/>
          <w:szCs w:val="24"/>
        </w:rPr>
        <w:t>Credit spreads tightened, partially offsetting losses due to rising interest rates in corporate bonds</w:t>
      </w:r>
    </w:p>
    <w:p w:rsidR="00170452" w:rsidRPr="00AF7ECA" w:rsidRDefault="00170452" w:rsidP="00170452">
      <w:pPr>
        <w:tabs>
          <w:tab w:val="left" w:pos="720"/>
        </w:tabs>
        <w:spacing w:after="0" w:line="240" w:lineRule="auto"/>
        <w:jc w:val="both"/>
        <w:rPr>
          <w:rFonts w:ascii="Garamond" w:eastAsia="Calibri" w:hAnsi="Garamond" w:cs="Times New Roman"/>
          <w:szCs w:val="24"/>
        </w:rPr>
      </w:pPr>
    </w:p>
    <w:p w:rsidR="00693E34" w:rsidRDefault="006514BB" w:rsidP="007243D1">
      <w:pPr>
        <w:tabs>
          <w:tab w:val="left" w:pos="720"/>
          <w:tab w:val="left" w:pos="10800"/>
        </w:tabs>
        <w:spacing w:after="0" w:line="240" w:lineRule="auto"/>
        <w:jc w:val="both"/>
        <w:rPr>
          <w:rFonts w:ascii="Garamond" w:eastAsia="Calibri" w:hAnsi="Garamond" w:cs="Times New Roman"/>
          <w:color w:val="595959" w:themeColor="text1" w:themeTint="A6"/>
          <w:sz w:val="28"/>
          <w:szCs w:val="28"/>
        </w:rPr>
      </w:pPr>
      <w:r>
        <w:rPr>
          <w:rFonts w:ascii="Garamond" w:eastAsia="Calibri" w:hAnsi="Garamond" w:cs="Times New Roman"/>
          <w:color w:val="595959" w:themeColor="text1" w:themeTint="A6"/>
          <w:sz w:val="28"/>
          <w:szCs w:val="28"/>
        </w:rPr>
        <w:t>Almost all fixed income sectors experienced negative returns during the fourth quarter, as the election results caused the mark</w:t>
      </w:r>
      <w:r w:rsidR="006E5D02">
        <w:rPr>
          <w:rFonts w:ascii="Garamond" w:eastAsia="Calibri" w:hAnsi="Garamond" w:cs="Times New Roman"/>
          <w:color w:val="595959" w:themeColor="text1" w:themeTint="A6"/>
          <w:sz w:val="28"/>
          <w:szCs w:val="28"/>
        </w:rPr>
        <w:t>et to reposition itself in anticipation of pro-growth policies</w:t>
      </w:r>
      <w:r w:rsidR="00A85EC5">
        <w:rPr>
          <w:rFonts w:ascii="Garamond" w:eastAsia="Calibri" w:hAnsi="Garamond" w:cs="Times New Roman"/>
          <w:color w:val="595959" w:themeColor="text1" w:themeTint="A6"/>
          <w:sz w:val="28"/>
          <w:szCs w:val="28"/>
        </w:rPr>
        <w:t xml:space="preserve"> and </w:t>
      </w:r>
      <w:r w:rsidR="006E5D02">
        <w:rPr>
          <w:rFonts w:ascii="Garamond" w:eastAsia="Calibri" w:hAnsi="Garamond" w:cs="Times New Roman"/>
          <w:color w:val="595959" w:themeColor="text1" w:themeTint="A6"/>
          <w:sz w:val="28"/>
          <w:szCs w:val="28"/>
        </w:rPr>
        <w:t xml:space="preserve">potentially higher inflation. </w:t>
      </w:r>
      <w:r w:rsidR="00A85EC5">
        <w:rPr>
          <w:rFonts w:ascii="Garamond" w:eastAsia="Calibri" w:hAnsi="Garamond" w:cs="Times New Roman"/>
          <w:color w:val="595959" w:themeColor="text1" w:themeTint="A6"/>
          <w:sz w:val="28"/>
          <w:szCs w:val="28"/>
        </w:rPr>
        <w:t xml:space="preserve"> Treasury yields have continued to backup, but are now even mo</w:t>
      </w:r>
      <w:r w:rsidR="00693E34">
        <w:rPr>
          <w:rFonts w:ascii="Garamond" w:eastAsia="Calibri" w:hAnsi="Garamond" w:cs="Times New Roman"/>
          <w:color w:val="595959" w:themeColor="text1" w:themeTint="A6"/>
          <w:sz w:val="28"/>
          <w:szCs w:val="28"/>
        </w:rPr>
        <w:t>re attractive to foreign buyers, which should have a limiting effect on sharp upward moves.</w:t>
      </w:r>
    </w:p>
    <w:p w:rsidR="00693E34" w:rsidRDefault="00693E34" w:rsidP="007243D1">
      <w:pPr>
        <w:tabs>
          <w:tab w:val="left" w:pos="720"/>
          <w:tab w:val="left" w:pos="10800"/>
        </w:tabs>
        <w:spacing w:after="0" w:line="240" w:lineRule="auto"/>
        <w:jc w:val="both"/>
        <w:rPr>
          <w:rFonts w:ascii="Garamond" w:eastAsia="Calibri" w:hAnsi="Garamond" w:cs="Times New Roman"/>
          <w:color w:val="595959" w:themeColor="text1" w:themeTint="A6"/>
          <w:sz w:val="28"/>
          <w:szCs w:val="28"/>
        </w:rPr>
      </w:pPr>
    </w:p>
    <w:p w:rsidR="003073A9" w:rsidRDefault="00693E34" w:rsidP="007243D1">
      <w:pPr>
        <w:tabs>
          <w:tab w:val="left" w:pos="720"/>
          <w:tab w:val="left" w:pos="10800"/>
        </w:tabs>
        <w:spacing w:after="0" w:line="240" w:lineRule="auto"/>
        <w:jc w:val="both"/>
        <w:rPr>
          <w:rFonts w:ascii="Garamond" w:eastAsia="Calibri" w:hAnsi="Garamond" w:cs="Times New Roman"/>
          <w:color w:val="595959" w:themeColor="text1" w:themeTint="A6"/>
          <w:sz w:val="28"/>
          <w:szCs w:val="28"/>
        </w:rPr>
      </w:pPr>
      <w:r>
        <w:rPr>
          <w:rFonts w:ascii="Garamond" w:eastAsia="Calibri" w:hAnsi="Garamond" w:cs="Times New Roman"/>
          <w:color w:val="595959" w:themeColor="text1" w:themeTint="A6"/>
          <w:sz w:val="28"/>
          <w:szCs w:val="28"/>
        </w:rPr>
        <w:t>As investor sentiment was one of “risk-on” for most of the quarter, credit instruments</w:t>
      </w:r>
      <w:r w:rsidR="007E72E1">
        <w:rPr>
          <w:rFonts w:ascii="Garamond" w:eastAsia="Calibri" w:hAnsi="Garamond" w:cs="Times New Roman"/>
          <w:color w:val="595959" w:themeColor="text1" w:themeTint="A6"/>
          <w:sz w:val="28"/>
          <w:szCs w:val="28"/>
        </w:rPr>
        <w:t xml:space="preserve"> (corporate bonds) </w:t>
      </w:r>
      <w:r>
        <w:rPr>
          <w:rFonts w:ascii="Garamond" w:eastAsia="Calibri" w:hAnsi="Garamond" w:cs="Times New Roman"/>
          <w:color w:val="595959" w:themeColor="text1" w:themeTint="A6"/>
          <w:sz w:val="28"/>
          <w:szCs w:val="28"/>
        </w:rPr>
        <w:t xml:space="preserve">outperformed Treasuries. </w:t>
      </w:r>
      <w:r w:rsidR="007E72E1">
        <w:rPr>
          <w:rFonts w:ascii="Garamond" w:eastAsia="Calibri" w:hAnsi="Garamond" w:cs="Times New Roman"/>
          <w:color w:val="595959" w:themeColor="text1" w:themeTint="A6"/>
          <w:sz w:val="28"/>
          <w:szCs w:val="28"/>
        </w:rPr>
        <w:t>While i</w:t>
      </w:r>
      <w:r>
        <w:rPr>
          <w:rFonts w:ascii="Garamond" w:eastAsia="Calibri" w:hAnsi="Garamond" w:cs="Times New Roman"/>
          <w:color w:val="595959" w:themeColor="text1" w:themeTint="A6"/>
          <w:sz w:val="28"/>
          <w:szCs w:val="28"/>
        </w:rPr>
        <w:t>nvestment-grade corporate</w:t>
      </w:r>
      <w:r w:rsidR="007E72E1">
        <w:rPr>
          <w:rFonts w:ascii="Garamond" w:eastAsia="Calibri" w:hAnsi="Garamond" w:cs="Times New Roman"/>
          <w:color w:val="595959" w:themeColor="text1" w:themeTint="A6"/>
          <w:sz w:val="28"/>
          <w:szCs w:val="28"/>
        </w:rPr>
        <w:t xml:space="preserve"> bonds still posted losses</w:t>
      </w:r>
      <w:r w:rsidR="00FA2279">
        <w:rPr>
          <w:rFonts w:ascii="Garamond" w:eastAsia="Calibri" w:hAnsi="Garamond" w:cs="Times New Roman"/>
          <w:color w:val="595959" w:themeColor="text1" w:themeTint="A6"/>
          <w:sz w:val="28"/>
          <w:szCs w:val="28"/>
        </w:rPr>
        <w:t>, their losses w</w:t>
      </w:r>
      <w:r w:rsidR="007E72E1">
        <w:rPr>
          <w:rFonts w:ascii="Garamond" w:eastAsia="Calibri" w:hAnsi="Garamond" w:cs="Times New Roman"/>
          <w:color w:val="595959" w:themeColor="text1" w:themeTint="A6"/>
          <w:sz w:val="28"/>
          <w:szCs w:val="28"/>
        </w:rPr>
        <w:t xml:space="preserve">ere mitigated by spreads compressing as investors added credit risk to their portfolios. High yield bonds were one of the best performers, generating positive returns for the </w:t>
      </w:r>
      <w:r w:rsidR="003073A9">
        <w:rPr>
          <w:rFonts w:ascii="Garamond" w:eastAsia="Calibri" w:hAnsi="Garamond" w:cs="Times New Roman"/>
          <w:color w:val="595959" w:themeColor="text1" w:themeTint="A6"/>
          <w:sz w:val="28"/>
          <w:szCs w:val="28"/>
        </w:rPr>
        <w:t xml:space="preserve">quarter as investors increased their exposure to the sector.  </w:t>
      </w:r>
    </w:p>
    <w:p w:rsidR="003073A9" w:rsidRDefault="003073A9" w:rsidP="007243D1">
      <w:pPr>
        <w:tabs>
          <w:tab w:val="left" w:pos="720"/>
          <w:tab w:val="left" w:pos="10800"/>
        </w:tabs>
        <w:spacing w:after="0" w:line="240" w:lineRule="auto"/>
        <w:jc w:val="both"/>
        <w:rPr>
          <w:rFonts w:ascii="Garamond" w:eastAsia="Calibri" w:hAnsi="Garamond" w:cs="Times New Roman"/>
          <w:color w:val="595959" w:themeColor="text1" w:themeTint="A6"/>
          <w:sz w:val="28"/>
          <w:szCs w:val="28"/>
        </w:rPr>
      </w:pPr>
    </w:p>
    <w:p w:rsidR="00CF6FFE" w:rsidRDefault="00693E34" w:rsidP="007243D1">
      <w:pPr>
        <w:tabs>
          <w:tab w:val="left" w:pos="720"/>
          <w:tab w:val="left" w:pos="10800"/>
        </w:tabs>
        <w:spacing w:after="0" w:line="240" w:lineRule="auto"/>
        <w:jc w:val="both"/>
        <w:rPr>
          <w:rFonts w:ascii="Garamond" w:eastAsia="Calibri" w:hAnsi="Garamond" w:cs="Times New Roman"/>
          <w:color w:val="595959" w:themeColor="text1" w:themeTint="A6"/>
          <w:sz w:val="28"/>
          <w:szCs w:val="28"/>
        </w:rPr>
      </w:pPr>
      <w:r>
        <w:rPr>
          <w:rFonts w:ascii="Garamond" w:eastAsia="Calibri" w:hAnsi="Garamond" w:cs="Times New Roman"/>
          <w:color w:val="595959" w:themeColor="text1" w:themeTint="A6"/>
          <w:sz w:val="28"/>
          <w:szCs w:val="28"/>
        </w:rPr>
        <w:t>Bonds issued by energy and financial companies were notable outperformers within the corporate market, as both industries are expected to benefit from regulatory changes under the new administration, and in the case of energy, rising oil prices. Going forward, a number</w:t>
      </w:r>
      <w:r w:rsidR="003073A9">
        <w:rPr>
          <w:rFonts w:ascii="Garamond" w:eastAsia="Calibri" w:hAnsi="Garamond" w:cs="Times New Roman"/>
          <w:color w:val="595959" w:themeColor="text1" w:themeTint="A6"/>
          <w:sz w:val="28"/>
          <w:szCs w:val="28"/>
        </w:rPr>
        <w:t xml:space="preserve"> of other policy actions </w:t>
      </w:r>
      <w:r w:rsidR="00FA2279">
        <w:rPr>
          <w:rFonts w:ascii="Garamond" w:eastAsia="Calibri" w:hAnsi="Garamond" w:cs="Times New Roman"/>
          <w:color w:val="595959" w:themeColor="text1" w:themeTint="A6"/>
          <w:sz w:val="28"/>
          <w:szCs w:val="28"/>
        </w:rPr>
        <w:t>pr</w:t>
      </w:r>
      <w:r w:rsidR="003073A9">
        <w:rPr>
          <w:rFonts w:ascii="Garamond" w:eastAsia="Calibri" w:hAnsi="Garamond" w:cs="Times New Roman"/>
          <w:color w:val="595959" w:themeColor="text1" w:themeTint="A6"/>
          <w:sz w:val="28"/>
          <w:szCs w:val="28"/>
        </w:rPr>
        <w:t>offered</w:t>
      </w:r>
      <w:r>
        <w:rPr>
          <w:rFonts w:ascii="Garamond" w:eastAsia="Calibri" w:hAnsi="Garamond" w:cs="Times New Roman"/>
          <w:color w:val="595959" w:themeColor="text1" w:themeTint="A6"/>
          <w:sz w:val="28"/>
          <w:szCs w:val="28"/>
        </w:rPr>
        <w:t xml:space="preserve"> during the campaign could have a material impact on corporate debt, such as eliminating the deductibility of interest expense an</w:t>
      </w:r>
      <w:r w:rsidR="003073A9">
        <w:rPr>
          <w:rFonts w:ascii="Garamond" w:eastAsia="Calibri" w:hAnsi="Garamond" w:cs="Times New Roman"/>
          <w:color w:val="595959" w:themeColor="text1" w:themeTint="A6"/>
          <w:sz w:val="28"/>
          <w:szCs w:val="28"/>
        </w:rPr>
        <w:t>d a tax holiday for companies (many of which are in the tech sector) looking to</w:t>
      </w:r>
      <w:r>
        <w:rPr>
          <w:rFonts w:ascii="Garamond" w:eastAsia="Calibri" w:hAnsi="Garamond" w:cs="Times New Roman"/>
          <w:color w:val="595959" w:themeColor="text1" w:themeTint="A6"/>
          <w:sz w:val="28"/>
          <w:szCs w:val="28"/>
        </w:rPr>
        <w:t xml:space="preserve"> repatriate overseas cash</w:t>
      </w:r>
      <w:r w:rsidR="003073A9">
        <w:rPr>
          <w:rFonts w:ascii="Garamond" w:eastAsia="Calibri" w:hAnsi="Garamond" w:cs="Times New Roman"/>
          <w:color w:val="595959" w:themeColor="text1" w:themeTint="A6"/>
          <w:sz w:val="28"/>
          <w:szCs w:val="28"/>
        </w:rPr>
        <w:t xml:space="preserve">. </w:t>
      </w:r>
    </w:p>
    <w:p w:rsidR="00CF6FFE" w:rsidRDefault="00CF6FFE" w:rsidP="007243D1">
      <w:pPr>
        <w:tabs>
          <w:tab w:val="left" w:pos="720"/>
          <w:tab w:val="left" w:pos="10800"/>
        </w:tabs>
        <w:spacing w:after="0" w:line="240" w:lineRule="auto"/>
        <w:jc w:val="both"/>
        <w:rPr>
          <w:rFonts w:ascii="Garamond" w:eastAsia="Calibri" w:hAnsi="Garamond" w:cs="Times New Roman"/>
          <w:color w:val="595959" w:themeColor="text1" w:themeTint="A6"/>
          <w:sz w:val="28"/>
          <w:szCs w:val="28"/>
        </w:rPr>
      </w:pPr>
    </w:p>
    <w:p w:rsidR="00CF6FFE" w:rsidRPr="0098711C" w:rsidRDefault="00CF6FFE" w:rsidP="007243D1">
      <w:pPr>
        <w:tabs>
          <w:tab w:val="left" w:pos="720"/>
          <w:tab w:val="left" w:pos="10800"/>
        </w:tabs>
        <w:spacing w:after="0" w:line="240" w:lineRule="auto"/>
        <w:jc w:val="both"/>
        <w:rPr>
          <w:rFonts w:ascii="Garamond" w:eastAsia="Calibri" w:hAnsi="Garamond" w:cs="Times New Roman"/>
          <w:color w:val="595959" w:themeColor="text1" w:themeTint="A6"/>
          <w:sz w:val="12"/>
          <w:szCs w:val="12"/>
        </w:rPr>
      </w:pPr>
    </w:p>
    <w:p w:rsidR="000F4CA3" w:rsidRDefault="00380409" w:rsidP="00EA2B47">
      <w:pPr>
        <w:tabs>
          <w:tab w:val="left" w:pos="720"/>
          <w:tab w:val="left" w:pos="10800"/>
        </w:tabs>
        <w:spacing w:after="0" w:line="240" w:lineRule="auto"/>
        <w:jc w:val="both"/>
        <w:rPr>
          <w:rFonts w:ascii="Garamond" w:eastAsia="Calibri" w:hAnsi="Garamond" w:cs="Times New Roman"/>
          <w:sz w:val="21"/>
          <w:szCs w:val="21"/>
        </w:rPr>
      </w:pPr>
      <w:r w:rsidRPr="00380409">
        <w:rPr>
          <w:noProof/>
        </w:rPr>
        <w:drawing>
          <wp:inline distT="0" distB="0" distL="0" distR="0" wp14:anchorId="27833D77" wp14:editId="70D9C722">
            <wp:extent cx="6858000" cy="172546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1725467"/>
                    </a:xfrm>
                    <a:prstGeom prst="rect">
                      <a:avLst/>
                    </a:prstGeom>
                    <a:noFill/>
                    <a:ln>
                      <a:noFill/>
                    </a:ln>
                  </pic:spPr>
                </pic:pic>
              </a:graphicData>
            </a:graphic>
          </wp:inline>
        </w:drawing>
      </w:r>
    </w:p>
    <w:p w:rsidR="00693E34" w:rsidRDefault="00693E34" w:rsidP="00EA2B47">
      <w:pPr>
        <w:tabs>
          <w:tab w:val="left" w:pos="720"/>
          <w:tab w:val="left" w:pos="10800"/>
        </w:tabs>
        <w:spacing w:after="0" w:line="240" w:lineRule="auto"/>
        <w:jc w:val="both"/>
        <w:rPr>
          <w:rFonts w:ascii="Garamond" w:eastAsia="Calibri" w:hAnsi="Garamond" w:cs="Times New Roman"/>
          <w:color w:val="FFFFFF" w:themeColor="background1"/>
          <w:sz w:val="12"/>
          <w:szCs w:val="12"/>
        </w:rPr>
      </w:pPr>
    </w:p>
    <w:p w:rsidR="00693E34" w:rsidRDefault="00693E34" w:rsidP="00EA2B47">
      <w:pPr>
        <w:tabs>
          <w:tab w:val="left" w:pos="720"/>
          <w:tab w:val="left" w:pos="10800"/>
        </w:tabs>
        <w:spacing w:after="0" w:line="240" w:lineRule="auto"/>
        <w:jc w:val="both"/>
        <w:rPr>
          <w:rFonts w:ascii="Garamond" w:eastAsia="Calibri" w:hAnsi="Garamond" w:cs="Times New Roman"/>
          <w:color w:val="FFFFFF" w:themeColor="background1"/>
          <w:sz w:val="12"/>
          <w:szCs w:val="12"/>
        </w:rPr>
      </w:pPr>
    </w:p>
    <w:p w:rsidR="00693E34" w:rsidRDefault="00693E34" w:rsidP="00EA2B47">
      <w:pPr>
        <w:tabs>
          <w:tab w:val="left" w:pos="720"/>
          <w:tab w:val="left" w:pos="10800"/>
        </w:tabs>
        <w:spacing w:after="0" w:line="240" w:lineRule="auto"/>
        <w:jc w:val="both"/>
        <w:rPr>
          <w:rFonts w:ascii="Garamond" w:eastAsia="Calibri" w:hAnsi="Garamond" w:cs="Times New Roman"/>
          <w:color w:val="FFFFFF" w:themeColor="background1"/>
          <w:sz w:val="12"/>
          <w:szCs w:val="12"/>
        </w:rPr>
      </w:pPr>
    </w:p>
    <w:p w:rsidR="00693E34" w:rsidRDefault="00693E34" w:rsidP="00EA2B47">
      <w:pPr>
        <w:tabs>
          <w:tab w:val="left" w:pos="720"/>
          <w:tab w:val="left" w:pos="10800"/>
        </w:tabs>
        <w:spacing w:after="0" w:line="240" w:lineRule="auto"/>
        <w:jc w:val="both"/>
        <w:rPr>
          <w:rFonts w:ascii="Garamond" w:eastAsia="Calibri" w:hAnsi="Garamond" w:cs="Times New Roman"/>
          <w:color w:val="FFFFFF" w:themeColor="background1"/>
          <w:sz w:val="12"/>
          <w:szCs w:val="12"/>
        </w:rPr>
      </w:pPr>
    </w:p>
    <w:p w:rsidR="00693E34" w:rsidRDefault="00693E34" w:rsidP="00EA2B47">
      <w:pPr>
        <w:tabs>
          <w:tab w:val="left" w:pos="720"/>
          <w:tab w:val="left" w:pos="10800"/>
        </w:tabs>
        <w:spacing w:after="0" w:line="240" w:lineRule="auto"/>
        <w:jc w:val="both"/>
        <w:rPr>
          <w:rFonts w:ascii="Garamond" w:eastAsia="Calibri" w:hAnsi="Garamond" w:cs="Times New Roman"/>
          <w:color w:val="FFFFFF" w:themeColor="background1"/>
          <w:sz w:val="12"/>
          <w:szCs w:val="12"/>
        </w:rPr>
      </w:pPr>
    </w:p>
    <w:p w:rsidR="00693E34" w:rsidRDefault="00693E34" w:rsidP="00EA2B47">
      <w:pPr>
        <w:tabs>
          <w:tab w:val="left" w:pos="720"/>
          <w:tab w:val="left" w:pos="10800"/>
        </w:tabs>
        <w:spacing w:after="0" w:line="240" w:lineRule="auto"/>
        <w:jc w:val="both"/>
        <w:rPr>
          <w:rFonts w:ascii="Garamond" w:eastAsia="Calibri" w:hAnsi="Garamond" w:cs="Times New Roman"/>
          <w:color w:val="FFFFFF" w:themeColor="background1"/>
          <w:sz w:val="12"/>
          <w:szCs w:val="12"/>
        </w:rPr>
      </w:pPr>
    </w:p>
    <w:p w:rsidR="00693E34" w:rsidRDefault="00693E34" w:rsidP="00EA2B47">
      <w:pPr>
        <w:tabs>
          <w:tab w:val="left" w:pos="720"/>
          <w:tab w:val="left" w:pos="10800"/>
        </w:tabs>
        <w:spacing w:after="0" w:line="240" w:lineRule="auto"/>
        <w:jc w:val="both"/>
        <w:rPr>
          <w:rFonts w:ascii="Garamond" w:eastAsia="Calibri" w:hAnsi="Garamond" w:cs="Times New Roman"/>
          <w:color w:val="FFFFFF" w:themeColor="background1"/>
          <w:sz w:val="12"/>
          <w:szCs w:val="12"/>
        </w:rPr>
      </w:pPr>
    </w:p>
    <w:p w:rsidR="00693E34" w:rsidRDefault="00693E34" w:rsidP="00EA2B47">
      <w:pPr>
        <w:tabs>
          <w:tab w:val="left" w:pos="720"/>
          <w:tab w:val="left" w:pos="10800"/>
        </w:tabs>
        <w:spacing w:after="0" w:line="240" w:lineRule="auto"/>
        <w:jc w:val="both"/>
        <w:rPr>
          <w:rFonts w:ascii="Garamond" w:eastAsia="Calibri" w:hAnsi="Garamond" w:cs="Times New Roman"/>
          <w:color w:val="FFFFFF" w:themeColor="background1"/>
          <w:sz w:val="12"/>
          <w:szCs w:val="12"/>
        </w:rPr>
      </w:pPr>
    </w:p>
    <w:p w:rsidR="00693E34" w:rsidRDefault="00693E34" w:rsidP="00EA2B47">
      <w:pPr>
        <w:tabs>
          <w:tab w:val="left" w:pos="720"/>
          <w:tab w:val="left" w:pos="10800"/>
        </w:tabs>
        <w:spacing w:after="0" w:line="240" w:lineRule="auto"/>
        <w:jc w:val="both"/>
        <w:rPr>
          <w:rFonts w:ascii="Garamond" w:eastAsia="Calibri" w:hAnsi="Garamond" w:cs="Times New Roman"/>
          <w:color w:val="FFFFFF" w:themeColor="background1"/>
          <w:sz w:val="12"/>
          <w:szCs w:val="12"/>
        </w:rPr>
      </w:pPr>
    </w:p>
    <w:p w:rsidR="0093465F" w:rsidRDefault="0098711C" w:rsidP="00B94D97">
      <w:pPr>
        <w:tabs>
          <w:tab w:val="left" w:pos="720"/>
          <w:tab w:val="left" w:pos="10800"/>
        </w:tabs>
        <w:spacing w:after="0" w:line="240" w:lineRule="auto"/>
        <w:jc w:val="both"/>
        <w:rPr>
          <w:rFonts w:ascii="Garamond" w:eastAsia="Calibri" w:hAnsi="Garamond" w:cs="Times New Roman"/>
          <w:color w:val="FFFFFF" w:themeColor="background1"/>
          <w:sz w:val="21"/>
          <w:szCs w:val="21"/>
        </w:rPr>
      </w:pPr>
      <w:r w:rsidRPr="0098711C">
        <w:rPr>
          <w:rStyle w:val="FootnoteReference"/>
          <w:rFonts w:ascii="Garamond" w:eastAsia="Calibri" w:hAnsi="Garamond" w:cs="Times New Roman"/>
          <w:color w:val="FFFFFF" w:themeColor="background1"/>
          <w:sz w:val="12"/>
          <w:szCs w:val="12"/>
        </w:rPr>
        <w:footnoteReference w:id="1"/>
      </w:r>
      <w:r w:rsidR="00380409" w:rsidRPr="00380409">
        <w:rPr>
          <w:noProof/>
        </w:rPr>
        <w:drawing>
          <wp:inline distT="0" distB="0" distL="0" distR="0" wp14:anchorId="31A80D15" wp14:editId="170AADD5">
            <wp:extent cx="6858000" cy="2493818"/>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493818"/>
                    </a:xfrm>
                    <a:prstGeom prst="rect">
                      <a:avLst/>
                    </a:prstGeom>
                    <a:noFill/>
                    <a:ln>
                      <a:noFill/>
                    </a:ln>
                  </pic:spPr>
                </pic:pic>
              </a:graphicData>
            </a:graphic>
          </wp:inline>
        </w:drawing>
      </w:r>
    </w:p>
    <w:p w:rsidR="00385CD9" w:rsidRDefault="00385CD9" w:rsidP="00385CD9">
      <w:pPr>
        <w:spacing w:after="0" w:line="240" w:lineRule="auto"/>
        <w:jc w:val="both"/>
        <w:rPr>
          <w:rFonts w:ascii="Garamond" w:eastAsia="Calibri" w:hAnsi="Garamond" w:cs="Times New Roman"/>
          <w:sz w:val="18"/>
          <w:szCs w:val="18"/>
        </w:rPr>
      </w:pPr>
    </w:p>
    <w:p w:rsidR="00FD1679" w:rsidRPr="0098711C" w:rsidRDefault="00FD1679" w:rsidP="00385CD9">
      <w:pPr>
        <w:spacing w:after="0" w:line="240" w:lineRule="auto"/>
        <w:jc w:val="both"/>
        <w:rPr>
          <w:rFonts w:ascii="Garamond" w:eastAsia="Calibri" w:hAnsi="Garamond" w:cs="Times New Roman"/>
          <w:sz w:val="18"/>
          <w:szCs w:val="18"/>
        </w:rPr>
      </w:pPr>
    </w:p>
    <w:p w:rsidR="001C2D9E" w:rsidRPr="00484B2B" w:rsidRDefault="00484B2B" w:rsidP="00E45E75">
      <w:pPr>
        <w:pBdr>
          <w:bottom w:val="single" w:sz="4" w:space="1" w:color="31849B" w:themeColor="accent5" w:themeShade="BF"/>
        </w:pBdr>
        <w:spacing w:after="0" w:line="240" w:lineRule="auto"/>
        <w:rPr>
          <w:rFonts w:ascii="Times New Roman" w:hAnsi="Times New Roman" w:cs="Times New Roman"/>
          <w:b/>
          <w:color w:val="215868" w:themeColor="accent5" w:themeShade="80"/>
          <w:sz w:val="40"/>
        </w:rPr>
      </w:pPr>
      <w:r w:rsidRPr="00484B2B">
        <w:rPr>
          <w:rFonts w:ascii="Times New Roman" w:hAnsi="Times New Roman" w:cs="Times New Roman"/>
          <w:b/>
          <w:color w:val="215868" w:themeColor="accent5" w:themeShade="80"/>
          <w:sz w:val="40"/>
        </w:rPr>
        <w:t>Tax-Exempt Market</w:t>
      </w:r>
    </w:p>
    <w:p w:rsidR="00581600" w:rsidRPr="008930BC" w:rsidRDefault="00581600" w:rsidP="00581600">
      <w:pPr>
        <w:tabs>
          <w:tab w:val="left" w:pos="720"/>
        </w:tabs>
        <w:spacing w:after="0" w:line="240" w:lineRule="auto"/>
        <w:jc w:val="both"/>
        <w:rPr>
          <w:rFonts w:ascii="Garamond" w:eastAsia="Calibri" w:hAnsi="Garamond" w:cs="Times New Roman"/>
          <w:b/>
          <w:sz w:val="14"/>
          <w:szCs w:val="24"/>
        </w:rPr>
      </w:pPr>
    </w:p>
    <w:p w:rsidR="00821D45" w:rsidRPr="00C0575E" w:rsidRDefault="00501CDD" w:rsidP="00C0575E">
      <w:pPr>
        <w:pStyle w:val="ListParagraph"/>
        <w:numPr>
          <w:ilvl w:val="0"/>
          <w:numId w:val="31"/>
        </w:numPr>
        <w:spacing w:after="0" w:line="240" w:lineRule="auto"/>
        <w:jc w:val="both"/>
        <w:rPr>
          <w:rFonts w:ascii="Garamond" w:eastAsia="Calibri" w:hAnsi="Garamond" w:cs="Times New Roman"/>
          <w:color w:val="595959" w:themeColor="text1" w:themeTint="A6"/>
          <w:szCs w:val="24"/>
        </w:rPr>
      </w:pPr>
      <w:r>
        <w:rPr>
          <w:rFonts w:ascii="Garamond" w:eastAsia="Calibri" w:hAnsi="Garamond" w:cs="Times New Roman"/>
          <w:b/>
          <w:color w:val="595959" w:themeColor="text1" w:themeTint="A6"/>
          <w:szCs w:val="24"/>
        </w:rPr>
        <w:t xml:space="preserve">Higher interest rates and the possibility of an </w:t>
      </w:r>
      <w:r w:rsidR="00875A76">
        <w:rPr>
          <w:rFonts w:ascii="Garamond" w:eastAsia="Calibri" w:hAnsi="Garamond" w:cs="Times New Roman"/>
          <w:b/>
          <w:color w:val="595959" w:themeColor="text1" w:themeTint="A6"/>
          <w:szCs w:val="24"/>
        </w:rPr>
        <w:t>income tax</w:t>
      </w:r>
      <w:r w:rsidR="00FA2279">
        <w:rPr>
          <w:rFonts w:ascii="Garamond" w:eastAsia="Calibri" w:hAnsi="Garamond" w:cs="Times New Roman"/>
          <w:b/>
          <w:color w:val="595959" w:themeColor="text1" w:themeTint="A6"/>
          <w:szCs w:val="24"/>
        </w:rPr>
        <w:t xml:space="preserve"> cut</w:t>
      </w:r>
      <w:r w:rsidR="00875A76">
        <w:rPr>
          <w:rFonts w:ascii="Garamond" w:eastAsia="Calibri" w:hAnsi="Garamond" w:cs="Times New Roman"/>
          <w:b/>
          <w:color w:val="595959" w:themeColor="text1" w:themeTint="A6"/>
          <w:szCs w:val="24"/>
        </w:rPr>
        <w:t xml:space="preserve"> put pr</w:t>
      </w:r>
      <w:r w:rsidR="002C45DC">
        <w:rPr>
          <w:rFonts w:ascii="Garamond" w:eastAsia="Calibri" w:hAnsi="Garamond" w:cs="Times New Roman"/>
          <w:b/>
          <w:color w:val="595959" w:themeColor="text1" w:themeTint="A6"/>
          <w:szCs w:val="24"/>
        </w:rPr>
        <w:t>essure on mu</w:t>
      </w:r>
      <w:r w:rsidR="00D67834">
        <w:rPr>
          <w:rFonts w:ascii="Garamond" w:eastAsia="Calibri" w:hAnsi="Garamond" w:cs="Times New Roman"/>
          <w:b/>
          <w:color w:val="595959" w:themeColor="text1" w:themeTint="A6"/>
          <w:szCs w:val="24"/>
        </w:rPr>
        <w:t>nicipal bonds</w:t>
      </w:r>
    </w:p>
    <w:p w:rsidR="00C0575E" w:rsidRDefault="00C0575E" w:rsidP="00C0575E">
      <w:pPr>
        <w:spacing w:after="0" w:line="240" w:lineRule="auto"/>
        <w:ind w:left="90"/>
        <w:contextualSpacing/>
        <w:jc w:val="both"/>
        <w:rPr>
          <w:rFonts w:ascii="Garamond" w:eastAsia="Calibri" w:hAnsi="Garamond" w:cs="Times New Roman"/>
          <w:b/>
          <w:color w:val="595959" w:themeColor="text1" w:themeTint="A6"/>
          <w:szCs w:val="24"/>
        </w:rPr>
      </w:pPr>
    </w:p>
    <w:p w:rsidR="00581600" w:rsidRPr="00484B2B" w:rsidRDefault="00501CDD" w:rsidP="00484B2B">
      <w:pPr>
        <w:numPr>
          <w:ilvl w:val="0"/>
          <w:numId w:val="28"/>
        </w:numPr>
        <w:spacing w:after="0" w:line="240" w:lineRule="auto"/>
        <w:contextualSpacing/>
        <w:jc w:val="both"/>
        <w:rPr>
          <w:rFonts w:ascii="Garamond" w:eastAsia="Calibri" w:hAnsi="Garamond" w:cs="Times New Roman"/>
          <w:color w:val="595959" w:themeColor="text1" w:themeTint="A6"/>
          <w:szCs w:val="24"/>
        </w:rPr>
      </w:pPr>
      <w:r>
        <w:rPr>
          <w:rFonts w:ascii="Garamond" w:eastAsia="Calibri" w:hAnsi="Garamond" w:cs="Times New Roman"/>
          <w:b/>
          <w:color w:val="595959" w:themeColor="text1" w:themeTint="A6"/>
          <w:szCs w:val="24"/>
        </w:rPr>
        <w:t>Tax-exempt mutual funds saw strong outflows, adding to selling pressure in the market</w:t>
      </w:r>
    </w:p>
    <w:p w:rsidR="00581600" w:rsidRPr="00484B2B" w:rsidRDefault="00581600" w:rsidP="00581600">
      <w:pPr>
        <w:spacing w:after="0" w:line="240" w:lineRule="auto"/>
        <w:jc w:val="both"/>
        <w:rPr>
          <w:rFonts w:ascii="Garamond" w:eastAsia="Calibri" w:hAnsi="Garamond" w:cs="Times New Roman"/>
          <w:color w:val="595959" w:themeColor="text1" w:themeTint="A6"/>
          <w:szCs w:val="24"/>
        </w:rPr>
      </w:pPr>
    </w:p>
    <w:p w:rsidR="00385CD9" w:rsidRPr="00484B2B" w:rsidRDefault="00501CDD" w:rsidP="00484B2B">
      <w:pPr>
        <w:numPr>
          <w:ilvl w:val="0"/>
          <w:numId w:val="28"/>
        </w:numPr>
        <w:spacing w:after="0" w:line="240" w:lineRule="auto"/>
        <w:contextualSpacing/>
        <w:jc w:val="both"/>
        <w:rPr>
          <w:rFonts w:ascii="Garamond" w:eastAsia="Calibri" w:hAnsi="Garamond" w:cs="Times New Roman"/>
          <w:color w:val="595959" w:themeColor="text1" w:themeTint="A6"/>
          <w:szCs w:val="24"/>
        </w:rPr>
      </w:pPr>
      <w:r>
        <w:rPr>
          <w:rFonts w:ascii="Garamond" w:eastAsia="Calibri" w:hAnsi="Garamond" w:cs="Times New Roman"/>
          <w:b/>
          <w:color w:val="595959" w:themeColor="text1" w:themeTint="A6"/>
          <w:szCs w:val="24"/>
        </w:rPr>
        <w:t>Entering 2017, t</w:t>
      </w:r>
      <w:r w:rsidR="00C0575E">
        <w:rPr>
          <w:rFonts w:ascii="Garamond" w:eastAsia="Calibri" w:hAnsi="Garamond" w:cs="Times New Roman"/>
          <w:b/>
          <w:color w:val="595959" w:themeColor="text1" w:themeTint="A6"/>
          <w:szCs w:val="24"/>
        </w:rPr>
        <w:t>ax</w:t>
      </w:r>
      <w:r>
        <w:rPr>
          <w:rFonts w:ascii="Garamond" w:eastAsia="Calibri" w:hAnsi="Garamond" w:cs="Times New Roman"/>
          <w:b/>
          <w:color w:val="595959" w:themeColor="text1" w:themeTint="A6"/>
          <w:szCs w:val="24"/>
        </w:rPr>
        <w:t>-</w:t>
      </w:r>
      <w:r w:rsidR="00C0575E">
        <w:rPr>
          <w:rFonts w:ascii="Garamond" w:eastAsia="Calibri" w:hAnsi="Garamond" w:cs="Times New Roman"/>
          <w:b/>
          <w:color w:val="595959" w:themeColor="text1" w:themeTint="A6"/>
          <w:szCs w:val="24"/>
        </w:rPr>
        <w:t>exempt ratios continue to suggest municipals are “cheap”</w:t>
      </w:r>
      <w:r>
        <w:rPr>
          <w:rFonts w:ascii="Garamond" w:eastAsia="Calibri" w:hAnsi="Garamond" w:cs="Times New Roman"/>
          <w:b/>
          <w:color w:val="595959" w:themeColor="text1" w:themeTint="A6"/>
          <w:szCs w:val="24"/>
        </w:rPr>
        <w:t xml:space="preserve"> relative to Treasuries</w:t>
      </w:r>
      <w:r w:rsidR="00C0575E">
        <w:rPr>
          <w:rFonts w:ascii="Garamond" w:eastAsia="Calibri" w:hAnsi="Garamond" w:cs="Times New Roman"/>
          <w:b/>
          <w:color w:val="595959" w:themeColor="text1" w:themeTint="A6"/>
          <w:szCs w:val="24"/>
        </w:rPr>
        <w:t xml:space="preserve"> </w:t>
      </w:r>
    </w:p>
    <w:p w:rsidR="008930BC" w:rsidRDefault="008930BC" w:rsidP="0077476F">
      <w:pPr>
        <w:tabs>
          <w:tab w:val="left" w:pos="2824"/>
        </w:tabs>
        <w:spacing w:after="0" w:line="240" w:lineRule="auto"/>
        <w:jc w:val="both"/>
        <w:rPr>
          <w:rFonts w:ascii="Garamond" w:eastAsia="Calibri" w:hAnsi="Garamond" w:cs="Times New Roman"/>
          <w:szCs w:val="24"/>
        </w:rPr>
      </w:pPr>
    </w:p>
    <w:p w:rsidR="008A4491" w:rsidRDefault="008A4491" w:rsidP="00CF6FFE">
      <w:pPr>
        <w:tabs>
          <w:tab w:val="left" w:pos="2824"/>
        </w:tabs>
        <w:spacing w:after="0" w:line="240" w:lineRule="auto"/>
        <w:jc w:val="both"/>
        <w:rPr>
          <w:rFonts w:ascii="Garamond" w:eastAsia="Calibri" w:hAnsi="Garamond" w:cs="Times New Roman"/>
          <w:color w:val="595959" w:themeColor="text1" w:themeTint="A6"/>
          <w:sz w:val="28"/>
          <w:szCs w:val="28"/>
        </w:rPr>
      </w:pPr>
      <w:r>
        <w:rPr>
          <w:rFonts w:ascii="Garamond" w:eastAsia="Calibri" w:hAnsi="Garamond" w:cs="Times New Roman"/>
          <w:color w:val="595959" w:themeColor="text1" w:themeTint="A6"/>
          <w:sz w:val="28"/>
          <w:szCs w:val="28"/>
        </w:rPr>
        <w:t>Municipal bonds suffered their worst quarterly loss in over two decades, as the negative effect of ri</w:t>
      </w:r>
      <w:r w:rsidR="009F5EEB">
        <w:rPr>
          <w:rFonts w:ascii="Garamond" w:eastAsia="Calibri" w:hAnsi="Garamond" w:cs="Times New Roman"/>
          <w:color w:val="595959" w:themeColor="text1" w:themeTint="A6"/>
          <w:sz w:val="28"/>
          <w:szCs w:val="28"/>
        </w:rPr>
        <w:t>sing rates combined with the</w:t>
      </w:r>
      <w:r>
        <w:rPr>
          <w:rFonts w:ascii="Garamond" w:eastAsia="Calibri" w:hAnsi="Garamond" w:cs="Times New Roman"/>
          <w:color w:val="595959" w:themeColor="text1" w:themeTint="A6"/>
          <w:sz w:val="28"/>
          <w:szCs w:val="28"/>
        </w:rPr>
        <w:t xml:space="preserve"> pros</w:t>
      </w:r>
      <w:r w:rsidR="009F5EEB">
        <w:rPr>
          <w:rFonts w:ascii="Garamond" w:eastAsia="Calibri" w:hAnsi="Garamond" w:cs="Times New Roman"/>
          <w:color w:val="595959" w:themeColor="text1" w:themeTint="A6"/>
          <w:sz w:val="28"/>
          <w:szCs w:val="28"/>
        </w:rPr>
        <w:t xml:space="preserve">pect </w:t>
      </w:r>
      <w:r w:rsidR="00FE6B41">
        <w:rPr>
          <w:rFonts w:ascii="Garamond" w:eastAsia="Calibri" w:hAnsi="Garamond" w:cs="Times New Roman"/>
          <w:color w:val="595959" w:themeColor="text1" w:themeTint="A6"/>
          <w:sz w:val="28"/>
          <w:szCs w:val="28"/>
        </w:rPr>
        <w:t>of lower tax rates forced heavy</w:t>
      </w:r>
      <w:r w:rsidR="009F5EEB">
        <w:rPr>
          <w:rFonts w:ascii="Garamond" w:eastAsia="Calibri" w:hAnsi="Garamond" w:cs="Times New Roman"/>
          <w:color w:val="595959" w:themeColor="text1" w:themeTint="A6"/>
          <w:sz w:val="28"/>
          <w:szCs w:val="28"/>
        </w:rPr>
        <w:t xml:space="preserve"> selling in the sector</w:t>
      </w:r>
      <w:r>
        <w:rPr>
          <w:rFonts w:ascii="Garamond" w:eastAsia="Calibri" w:hAnsi="Garamond" w:cs="Times New Roman"/>
          <w:color w:val="595959" w:themeColor="text1" w:themeTint="A6"/>
          <w:sz w:val="28"/>
          <w:szCs w:val="28"/>
        </w:rPr>
        <w:t>. As with the taxable market, shorter duration municipals outperformed the long end as the yield curve steepened. Tax-exempt mutual funds experienced outflows for 8 straight weeks following the election (following 54 consec</w:t>
      </w:r>
      <w:r w:rsidR="009F5EEB">
        <w:rPr>
          <w:rFonts w:ascii="Garamond" w:eastAsia="Calibri" w:hAnsi="Garamond" w:cs="Times New Roman"/>
          <w:color w:val="595959" w:themeColor="text1" w:themeTint="A6"/>
          <w:sz w:val="28"/>
          <w:szCs w:val="28"/>
        </w:rPr>
        <w:t>utive weeks of inflows). T</w:t>
      </w:r>
      <w:r>
        <w:rPr>
          <w:rFonts w:ascii="Garamond" w:eastAsia="Calibri" w:hAnsi="Garamond" w:cs="Times New Roman"/>
          <w:color w:val="595959" w:themeColor="text1" w:themeTint="A6"/>
          <w:sz w:val="28"/>
          <w:szCs w:val="28"/>
        </w:rPr>
        <w:t>he selloff in municipals</w:t>
      </w:r>
      <w:r w:rsidR="009F5EEB">
        <w:rPr>
          <w:rFonts w:ascii="Garamond" w:eastAsia="Calibri" w:hAnsi="Garamond" w:cs="Times New Roman"/>
          <w:color w:val="595959" w:themeColor="text1" w:themeTint="A6"/>
          <w:sz w:val="28"/>
          <w:szCs w:val="28"/>
        </w:rPr>
        <w:t xml:space="preserve"> peaked in early December as ratios relative to Treasuries cheapened sufficiently to attract non-traditional buyers such as hedge funds.</w:t>
      </w:r>
    </w:p>
    <w:p w:rsidR="008A4491" w:rsidRDefault="008A4491" w:rsidP="00CF6FFE">
      <w:pPr>
        <w:tabs>
          <w:tab w:val="left" w:pos="2824"/>
        </w:tabs>
        <w:spacing w:after="0" w:line="240" w:lineRule="auto"/>
        <w:jc w:val="both"/>
        <w:rPr>
          <w:rFonts w:ascii="Garamond" w:eastAsia="Calibri" w:hAnsi="Garamond" w:cs="Times New Roman"/>
          <w:color w:val="595959" w:themeColor="text1" w:themeTint="A6"/>
          <w:sz w:val="28"/>
          <w:szCs w:val="28"/>
        </w:rPr>
      </w:pPr>
    </w:p>
    <w:p w:rsidR="00AF7ECA" w:rsidRDefault="00B94D97" w:rsidP="000F4CA3">
      <w:pPr>
        <w:tabs>
          <w:tab w:val="left" w:pos="2824"/>
        </w:tabs>
        <w:spacing w:after="0" w:line="240" w:lineRule="auto"/>
        <w:jc w:val="both"/>
        <w:rPr>
          <w:rFonts w:ascii="Garamond" w:eastAsia="Calibri" w:hAnsi="Garamond" w:cs="Times New Roman"/>
          <w:color w:val="595959" w:themeColor="text1" w:themeTint="A6"/>
          <w:sz w:val="28"/>
          <w:szCs w:val="28"/>
        </w:rPr>
      </w:pPr>
      <w:r>
        <w:rPr>
          <w:rFonts w:ascii="Garamond" w:eastAsia="Calibri" w:hAnsi="Garamond" w:cs="Times New Roman"/>
          <w:color w:val="595959" w:themeColor="text1" w:themeTint="A6"/>
          <w:sz w:val="28"/>
          <w:szCs w:val="28"/>
        </w:rPr>
        <w:t>Entering 2017, municipals appear relatively attractive on the basis of municipal/treasury yield ratios, but the market will look towards policies emanating from Washington for future direction. While a personal income tax cut would hurt municipal bond prices, there are potential positives, such as regulatory reform in the financial sector that could boost liquidity in the market. In addition, higher interest rates will limit refunding issuance, d</w:t>
      </w:r>
      <w:r w:rsidR="001B6D11">
        <w:rPr>
          <w:rFonts w:ascii="Garamond" w:eastAsia="Calibri" w:hAnsi="Garamond" w:cs="Times New Roman"/>
          <w:color w:val="595959" w:themeColor="text1" w:themeTint="A6"/>
          <w:sz w:val="28"/>
          <w:szCs w:val="28"/>
        </w:rPr>
        <w:t>ecreasing supply which could support prices</w:t>
      </w:r>
      <w:r>
        <w:rPr>
          <w:rFonts w:ascii="Garamond" w:eastAsia="Calibri" w:hAnsi="Garamond" w:cs="Times New Roman"/>
          <w:color w:val="595959" w:themeColor="text1" w:themeTint="A6"/>
          <w:sz w:val="28"/>
          <w:szCs w:val="28"/>
        </w:rPr>
        <w:t>.</w:t>
      </w:r>
    </w:p>
    <w:p w:rsidR="00B94D97" w:rsidRPr="0098711C" w:rsidRDefault="00B94D97" w:rsidP="000F4CA3">
      <w:pPr>
        <w:tabs>
          <w:tab w:val="left" w:pos="2824"/>
        </w:tabs>
        <w:spacing w:after="0" w:line="240" w:lineRule="auto"/>
        <w:jc w:val="both"/>
        <w:rPr>
          <w:rFonts w:ascii="Garamond" w:eastAsia="Calibri" w:hAnsi="Garamond" w:cs="Times New Roman"/>
          <w:sz w:val="12"/>
          <w:szCs w:val="12"/>
        </w:rPr>
      </w:pPr>
    </w:p>
    <w:p w:rsidR="00FA7560" w:rsidRDefault="00E75822" w:rsidP="00DB526F">
      <w:pPr>
        <w:tabs>
          <w:tab w:val="left" w:pos="2824"/>
        </w:tabs>
        <w:spacing w:after="0" w:line="240" w:lineRule="auto"/>
        <w:jc w:val="center"/>
        <w:rPr>
          <w:noProof/>
        </w:rPr>
      </w:pPr>
      <w:r w:rsidRPr="00E75822">
        <w:rPr>
          <w:noProof/>
        </w:rPr>
        <w:drawing>
          <wp:inline distT="0" distB="0" distL="0" distR="0" wp14:anchorId="36B74E19" wp14:editId="313BF2F8">
            <wp:extent cx="6858000" cy="168159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681599"/>
                    </a:xfrm>
                    <a:prstGeom prst="rect">
                      <a:avLst/>
                    </a:prstGeom>
                    <a:noFill/>
                    <a:ln>
                      <a:noFill/>
                    </a:ln>
                  </pic:spPr>
                </pic:pic>
              </a:graphicData>
            </a:graphic>
          </wp:inline>
        </w:drawing>
      </w:r>
    </w:p>
    <w:p w:rsidR="00681BB8" w:rsidRPr="00681BB8" w:rsidRDefault="00681BB8" w:rsidP="00E45E75">
      <w:pPr>
        <w:pBdr>
          <w:bottom w:val="single" w:sz="4" w:space="1" w:color="31849B" w:themeColor="accent5" w:themeShade="BF"/>
        </w:pBdr>
        <w:spacing w:after="0" w:line="240" w:lineRule="auto"/>
        <w:rPr>
          <w:rFonts w:ascii="Times New Roman" w:hAnsi="Times New Roman" w:cs="Times New Roman"/>
          <w:b/>
          <w:color w:val="215868" w:themeColor="accent5" w:themeShade="80"/>
          <w:sz w:val="28"/>
        </w:rPr>
      </w:pPr>
    </w:p>
    <w:p w:rsidR="007D32C7" w:rsidRPr="00E45E75" w:rsidRDefault="00E45E75" w:rsidP="00E45E75">
      <w:pPr>
        <w:pBdr>
          <w:bottom w:val="single" w:sz="4" w:space="1" w:color="31849B" w:themeColor="accent5" w:themeShade="BF"/>
        </w:pBdr>
        <w:spacing w:after="0" w:line="240" w:lineRule="auto"/>
        <w:rPr>
          <w:rFonts w:ascii="Times New Roman" w:hAnsi="Times New Roman" w:cs="Times New Roman"/>
          <w:b/>
          <w:color w:val="215868" w:themeColor="accent5" w:themeShade="80"/>
          <w:sz w:val="40"/>
        </w:rPr>
      </w:pPr>
      <w:r w:rsidRPr="00E45E75">
        <w:rPr>
          <w:rFonts w:ascii="Times New Roman" w:hAnsi="Times New Roman" w:cs="Times New Roman"/>
          <w:b/>
          <w:color w:val="215868" w:themeColor="accent5" w:themeShade="80"/>
          <w:sz w:val="40"/>
        </w:rPr>
        <w:t>Outlook</w:t>
      </w:r>
    </w:p>
    <w:p w:rsidR="003A7921" w:rsidRPr="003A7921" w:rsidRDefault="003A7921" w:rsidP="005060CE">
      <w:pPr>
        <w:tabs>
          <w:tab w:val="left" w:pos="720"/>
        </w:tabs>
        <w:spacing w:after="0" w:line="240" w:lineRule="auto"/>
        <w:jc w:val="both"/>
        <w:rPr>
          <w:rFonts w:ascii="Garamond" w:eastAsia="Calibri" w:hAnsi="Garamond" w:cs="Times New Roman"/>
          <w:color w:val="595959" w:themeColor="text1" w:themeTint="A6"/>
          <w:sz w:val="14"/>
          <w:szCs w:val="14"/>
        </w:rPr>
      </w:pPr>
    </w:p>
    <w:p w:rsidR="009579DF" w:rsidRDefault="00BB6D3D" w:rsidP="00CF6FFE">
      <w:pPr>
        <w:tabs>
          <w:tab w:val="left" w:pos="720"/>
        </w:tabs>
        <w:spacing w:after="0" w:line="240" w:lineRule="auto"/>
        <w:jc w:val="both"/>
        <w:rPr>
          <w:rFonts w:ascii="Garamond" w:eastAsia="Calibri" w:hAnsi="Garamond" w:cs="Times New Roman"/>
          <w:color w:val="595959" w:themeColor="text1" w:themeTint="A6"/>
          <w:sz w:val="28"/>
          <w:szCs w:val="28"/>
        </w:rPr>
      </w:pPr>
      <w:r>
        <w:rPr>
          <w:rFonts w:ascii="Garamond" w:eastAsia="Calibri" w:hAnsi="Garamond" w:cs="Times New Roman"/>
          <w:color w:val="595959" w:themeColor="text1" w:themeTint="A6"/>
          <w:sz w:val="28"/>
          <w:szCs w:val="28"/>
        </w:rPr>
        <w:t xml:space="preserve">As previously </w:t>
      </w:r>
      <w:r w:rsidR="00B07E0B">
        <w:rPr>
          <w:rFonts w:ascii="Garamond" w:eastAsia="Calibri" w:hAnsi="Garamond" w:cs="Times New Roman"/>
          <w:color w:val="595959" w:themeColor="text1" w:themeTint="A6"/>
          <w:sz w:val="28"/>
          <w:szCs w:val="28"/>
        </w:rPr>
        <w:t xml:space="preserve">noted, the market </w:t>
      </w:r>
      <w:r w:rsidR="00926827">
        <w:rPr>
          <w:rFonts w:ascii="Garamond" w:eastAsia="Calibri" w:hAnsi="Garamond" w:cs="Times New Roman"/>
          <w:color w:val="595959" w:themeColor="text1" w:themeTint="A6"/>
          <w:sz w:val="28"/>
          <w:szCs w:val="28"/>
        </w:rPr>
        <w:t>appears to have</w:t>
      </w:r>
      <w:r w:rsidR="00B07E0B">
        <w:rPr>
          <w:rFonts w:ascii="Garamond" w:eastAsia="Calibri" w:hAnsi="Garamond" w:cs="Times New Roman"/>
          <w:color w:val="595959" w:themeColor="text1" w:themeTint="A6"/>
          <w:sz w:val="28"/>
          <w:szCs w:val="28"/>
        </w:rPr>
        <w:t xml:space="preserve"> </w:t>
      </w:r>
      <w:r>
        <w:rPr>
          <w:rFonts w:ascii="Garamond" w:eastAsia="Calibri" w:hAnsi="Garamond" w:cs="Times New Roman"/>
          <w:color w:val="595959" w:themeColor="text1" w:themeTint="A6"/>
          <w:sz w:val="28"/>
          <w:szCs w:val="28"/>
        </w:rPr>
        <w:t>settled in to a trading range taking</w:t>
      </w:r>
      <w:r w:rsidR="001167F3">
        <w:rPr>
          <w:rFonts w:ascii="Garamond" w:eastAsia="Calibri" w:hAnsi="Garamond" w:cs="Times New Roman"/>
          <w:color w:val="595959" w:themeColor="text1" w:themeTint="A6"/>
          <w:sz w:val="28"/>
          <w:szCs w:val="28"/>
        </w:rPr>
        <w:t xml:space="preserve"> more of a wait and see approach . . . </w:t>
      </w:r>
      <w:r w:rsidR="00C12AC6">
        <w:rPr>
          <w:rFonts w:ascii="Garamond" w:eastAsia="Calibri" w:hAnsi="Garamond" w:cs="Times New Roman"/>
          <w:color w:val="595959" w:themeColor="text1" w:themeTint="A6"/>
          <w:sz w:val="28"/>
          <w:szCs w:val="28"/>
        </w:rPr>
        <w:t>both to the FOMC</w:t>
      </w:r>
      <w:r w:rsidR="006C6FE3">
        <w:rPr>
          <w:rFonts w:ascii="Garamond" w:eastAsia="Calibri" w:hAnsi="Garamond" w:cs="Times New Roman"/>
          <w:color w:val="595959" w:themeColor="text1" w:themeTint="A6"/>
          <w:sz w:val="28"/>
          <w:szCs w:val="28"/>
        </w:rPr>
        <w:t xml:space="preserve"> and fiscal policy</w:t>
      </w:r>
      <w:r w:rsidR="009579DF">
        <w:rPr>
          <w:rFonts w:ascii="Garamond" w:eastAsia="Calibri" w:hAnsi="Garamond" w:cs="Times New Roman"/>
          <w:color w:val="595959" w:themeColor="text1" w:themeTint="A6"/>
          <w:sz w:val="28"/>
          <w:szCs w:val="28"/>
        </w:rPr>
        <w:t>.</w:t>
      </w:r>
      <w:r>
        <w:rPr>
          <w:rFonts w:ascii="Garamond" w:eastAsia="Calibri" w:hAnsi="Garamond" w:cs="Times New Roman"/>
          <w:color w:val="595959" w:themeColor="text1" w:themeTint="A6"/>
          <w:sz w:val="28"/>
          <w:szCs w:val="28"/>
        </w:rPr>
        <w:t xml:space="preserve"> </w:t>
      </w:r>
    </w:p>
    <w:p w:rsidR="00561054" w:rsidRDefault="00561054" w:rsidP="00CF6FFE">
      <w:pPr>
        <w:tabs>
          <w:tab w:val="left" w:pos="720"/>
        </w:tabs>
        <w:spacing w:after="0" w:line="240" w:lineRule="auto"/>
        <w:jc w:val="both"/>
        <w:rPr>
          <w:rFonts w:ascii="Garamond" w:eastAsia="Calibri" w:hAnsi="Garamond" w:cs="Times New Roman"/>
          <w:color w:val="595959" w:themeColor="text1" w:themeTint="A6"/>
          <w:sz w:val="28"/>
          <w:szCs w:val="28"/>
        </w:rPr>
      </w:pPr>
    </w:p>
    <w:p w:rsidR="003A46A4" w:rsidRDefault="00B60002" w:rsidP="00CF6FFE">
      <w:pPr>
        <w:tabs>
          <w:tab w:val="left" w:pos="720"/>
        </w:tabs>
        <w:spacing w:after="0" w:line="240" w:lineRule="auto"/>
        <w:jc w:val="both"/>
        <w:rPr>
          <w:rFonts w:ascii="Garamond" w:eastAsia="Calibri" w:hAnsi="Garamond" w:cs="Times New Roman"/>
          <w:color w:val="595959" w:themeColor="text1" w:themeTint="A6"/>
          <w:sz w:val="28"/>
          <w:szCs w:val="28"/>
        </w:rPr>
      </w:pPr>
      <w:r>
        <w:rPr>
          <w:rFonts w:ascii="Garamond" w:eastAsia="Calibri" w:hAnsi="Garamond" w:cs="Times New Roman"/>
          <w:color w:val="595959" w:themeColor="text1" w:themeTint="A6"/>
          <w:sz w:val="28"/>
          <w:szCs w:val="28"/>
        </w:rPr>
        <w:t>While m</w:t>
      </w:r>
      <w:r w:rsidR="00361B11">
        <w:rPr>
          <w:rFonts w:ascii="Garamond" w:eastAsia="Calibri" w:hAnsi="Garamond" w:cs="Times New Roman"/>
          <w:color w:val="595959" w:themeColor="text1" w:themeTint="A6"/>
          <w:sz w:val="28"/>
          <w:szCs w:val="28"/>
        </w:rPr>
        <w:t>any investors are positionin</w:t>
      </w:r>
      <w:r>
        <w:rPr>
          <w:rFonts w:ascii="Garamond" w:eastAsia="Calibri" w:hAnsi="Garamond" w:cs="Times New Roman"/>
          <w:color w:val="595959" w:themeColor="text1" w:themeTint="A6"/>
          <w:sz w:val="28"/>
          <w:szCs w:val="28"/>
        </w:rPr>
        <w:t xml:space="preserve">g for higher rates ahead, </w:t>
      </w:r>
      <w:r w:rsidR="00361B11">
        <w:rPr>
          <w:rFonts w:ascii="Garamond" w:eastAsia="Calibri" w:hAnsi="Garamond" w:cs="Times New Roman"/>
          <w:color w:val="595959" w:themeColor="text1" w:themeTint="A6"/>
          <w:sz w:val="28"/>
          <w:szCs w:val="28"/>
        </w:rPr>
        <w:t xml:space="preserve">some feel the backup in rates represents a buying opportunity. The higher rate camp believes </w:t>
      </w:r>
      <w:r w:rsidR="006913CA">
        <w:rPr>
          <w:rFonts w:ascii="Garamond" w:eastAsia="Calibri" w:hAnsi="Garamond" w:cs="Times New Roman"/>
          <w:color w:val="595959" w:themeColor="text1" w:themeTint="A6"/>
          <w:sz w:val="28"/>
          <w:szCs w:val="28"/>
        </w:rPr>
        <w:t>that the shift from monetary</w:t>
      </w:r>
      <w:r w:rsidR="00561054">
        <w:rPr>
          <w:rFonts w:ascii="Garamond" w:eastAsia="Calibri" w:hAnsi="Garamond" w:cs="Times New Roman"/>
          <w:color w:val="595959" w:themeColor="text1" w:themeTint="A6"/>
          <w:sz w:val="28"/>
          <w:szCs w:val="28"/>
        </w:rPr>
        <w:t xml:space="preserve"> (FOMC rate cuts/buyback programs)</w:t>
      </w:r>
      <w:r w:rsidR="006913CA">
        <w:rPr>
          <w:rFonts w:ascii="Garamond" w:eastAsia="Calibri" w:hAnsi="Garamond" w:cs="Times New Roman"/>
          <w:color w:val="595959" w:themeColor="text1" w:themeTint="A6"/>
          <w:sz w:val="28"/>
          <w:szCs w:val="28"/>
        </w:rPr>
        <w:t xml:space="preserve"> to </w:t>
      </w:r>
      <w:r w:rsidR="00E97B46">
        <w:rPr>
          <w:rFonts w:ascii="Garamond" w:eastAsia="Calibri" w:hAnsi="Garamond" w:cs="Times New Roman"/>
          <w:color w:val="595959" w:themeColor="text1" w:themeTint="A6"/>
          <w:sz w:val="28"/>
          <w:szCs w:val="28"/>
        </w:rPr>
        <w:t>fiscal stimulus</w:t>
      </w:r>
      <w:r w:rsidR="00561054">
        <w:rPr>
          <w:rFonts w:ascii="Garamond" w:eastAsia="Calibri" w:hAnsi="Garamond" w:cs="Times New Roman"/>
          <w:color w:val="595959" w:themeColor="text1" w:themeTint="A6"/>
          <w:sz w:val="28"/>
          <w:szCs w:val="28"/>
        </w:rPr>
        <w:t xml:space="preserve"> (tax cut</w:t>
      </w:r>
      <w:r w:rsidR="0014067D">
        <w:rPr>
          <w:rFonts w:ascii="Garamond" w:eastAsia="Calibri" w:hAnsi="Garamond" w:cs="Times New Roman"/>
          <w:color w:val="595959" w:themeColor="text1" w:themeTint="A6"/>
          <w:sz w:val="28"/>
          <w:szCs w:val="28"/>
        </w:rPr>
        <w:t xml:space="preserve">s, infrastructure spending, </w:t>
      </w:r>
      <w:r w:rsidR="003A46A4">
        <w:rPr>
          <w:rFonts w:ascii="Garamond" w:eastAsia="Calibri" w:hAnsi="Garamond" w:cs="Times New Roman"/>
          <w:color w:val="595959" w:themeColor="text1" w:themeTint="A6"/>
          <w:sz w:val="28"/>
          <w:szCs w:val="28"/>
        </w:rPr>
        <w:t>etc</w:t>
      </w:r>
      <w:r w:rsidR="0014067D">
        <w:rPr>
          <w:rFonts w:ascii="Garamond" w:eastAsia="Calibri" w:hAnsi="Garamond" w:cs="Times New Roman"/>
          <w:color w:val="595959" w:themeColor="text1" w:themeTint="A6"/>
          <w:sz w:val="28"/>
          <w:szCs w:val="28"/>
        </w:rPr>
        <w:t>.</w:t>
      </w:r>
      <w:r w:rsidR="003A46A4">
        <w:rPr>
          <w:rFonts w:ascii="Garamond" w:eastAsia="Calibri" w:hAnsi="Garamond" w:cs="Times New Roman"/>
          <w:color w:val="595959" w:themeColor="text1" w:themeTint="A6"/>
          <w:sz w:val="28"/>
          <w:szCs w:val="28"/>
        </w:rPr>
        <w:t>)</w:t>
      </w:r>
      <w:r w:rsidR="00E97B46">
        <w:rPr>
          <w:rFonts w:ascii="Garamond" w:eastAsia="Calibri" w:hAnsi="Garamond" w:cs="Times New Roman"/>
          <w:color w:val="595959" w:themeColor="text1" w:themeTint="A6"/>
          <w:sz w:val="28"/>
          <w:szCs w:val="28"/>
        </w:rPr>
        <w:t xml:space="preserve"> will </w:t>
      </w:r>
      <w:r w:rsidR="00D67834">
        <w:rPr>
          <w:rFonts w:ascii="Garamond" w:eastAsia="Calibri" w:hAnsi="Garamond" w:cs="Times New Roman"/>
          <w:color w:val="595959" w:themeColor="text1" w:themeTint="A6"/>
          <w:sz w:val="28"/>
          <w:szCs w:val="28"/>
        </w:rPr>
        <w:t>resul</w:t>
      </w:r>
      <w:r w:rsidR="00561054">
        <w:rPr>
          <w:rFonts w:ascii="Garamond" w:eastAsia="Calibri" w:hAnsi="Garamond" w:cs="Times New Roman"/>
          <w:color w:val="595959" w:themeColor="text1" w:themeTint="A6"/>
          <w:sz w:val="28"/>
          <w:szCs w:val="28"/>
        </w:rPr>
        <w:t xml:space="preserve">t in more growth, wage pressures and ultimately </w:t>
      </w:r>
      <w:r w:rsidR="00D67834">
        <w:rPr>
          <w:rFonts w:ascii="Garamond" w:eastAsia="Calibri" w:hAnsi="Garamond" w:cs="Times New Roman"/>
          <w:color w:val="595959" w:themeColor="text1" w:themeTint="A6"/>
          <w:sz w:val="28"/>
          <w:szCs w:val="28"/>
        </w:rPr>
        <w:t>higher inflation</w:t>
      </w:r>
      <w:r>
        <w:rPr>
          <w:rFonts w:ascii="Garamond" w:eastAsia="Calibri" w:hAnsi="Garamond" w:cs="Times New Roman"/>
          <w:color w:val="595959" w:themeColor="text1" w:themeTint="A6"/>
          <w:sz w:val="28"/>
          <w:szCs w:val="28"/>
        </w:rPr>
        <w:t>. In addition</w:t>
      </w:r>
      <w:r w:rsidR="005630AB">
        <w:rPr>
          <w:rFonts w:ascii="Garamond" w:eastAsia="Calibri" w:hAnsi="Garamond" w:cs="Times New Roman"/>
          <w:color w:val="595959" w:themeColor="text1" w:themeTint="A6"/>
          <w:sz w:val="28"/>
          <w:szCs w:val="28"/>
        </w:rPr>
        <w:t xml:space="preserve">, </w:t>
      </w:r>
      <w:r w:rsidR="00361B11">
        <w:rPr>
          <w:rFonts w:ascii="Garamond" w:eastAsia="Calibri" w:hAnsi="Garamond" w:cs="Times New Roman"/>
          <w:color w:val="595959" w:themeColor="text1" w:themeTint="A6"/>
          <w:sz w:val="28"/>
          <w:szCs w:val="28"/>
        </w:rPr>
        <w:t xml:space="preserve">the increased debt levels </w:t>
      </w:r>
      <w:r w:rsidR="00D67834">
        <w:rPr>
          <w:rFonts w:ascii="Garamond" w:eastAsia="Calibri" w:hAnsi="Garamond" w:cs="Times New Roman"/>
          <w:color w:val="595959" w:themeColor="text1" w:themeTint="A6"/>
          <w:sz w:val="28"/>
          <w:szCs w:val="28"/>
        </w:rPr>
        <w:t>required to fund the various fiscal policies</w:t>
      </w:r>
      <w:r w:rsidR="00361B11">
        <w:rPr>
          <w:rFonts w:ascii="Garamond" w:eastAsia="Calibri" w:hAnsi="Garamond" w:cs="Times New Roman"/>
          <w:color w:val="595959" w:themeColor="text1" w:themeTint="A6"/>
          <w:sz w:val="28"/>
          <w:szCs w:val="28"/>
        </w:rPr>
        <w:t xml:space="preserve"> </w:t>
      </w:r>
      <w:r>
        <w:rPr>
          <w:rFonts w:ascii="Garamond" w:eastAsia="Calibri" w:hAnsi="Garamond" w:cs="Times New Roman"/>
          <w:color w:val="595959" w:themeColor="text1" w:themeTint="A6"/>
          <w:sz w:val="28"/>
          <w:szCs w:val="28"/>
        </w:rPr>
        <w:t xml:space="preserve">proposed </w:t>
      </w:r>
      <w:r w:rsidR="00361B11">
        <w:rPr>
          <w:rFonts w:ascii="Garamond" w:eastAsia="Calibri" w:hAnsi="Garamond" w:cs="Times New Roman"/>
          <w:color w:val="595959" w:themeColor="text1" w:themeTint="A6"/>
          <w:sz w:val="28"/>
          <w:szCs w:val="28"/>
        </w:rPr>
        <w:t xml:space="preserve">would lead to more supply and </w:t>
      </w:r>
      <w:r>
        <w:rPr>
          <w:rFonts w:ascii="Garamond" w:eastAsia="Calibri" w:hAnsi="Garamond" w:cs="Times New Roman"/>
          <w:color w:val="595959" w:themeColor="text1" w:themeTint="A6"/>
          <w:sz w:val="28"/>
          <w:szCs w:val="28"/>
        </w:rPr>
        <w:t xml:space="preserve">therefore higher yields. </w:t>
      </w:r>
    </w:p>
    <w:p w:rsidR="003A46A4" w:rsidRDefault="003A46A4" w:rsidP="00CF6FFE">
      <w:pPr>
        <w:tabs>
          <w:tab w:val="left" w:pos="720"/>
        </w:tabs>
        <w:spacing w:after="0" w:line="240" w:lineRule="auto"/>
        <w:jc w:val="both"/>
        <w:rPr>
          <w:rFonts w:ascii="Garamond" w:eastAsia="Calibri" w:hAnsi="Garamond" w:cs="Times New Roman"/>
          <w:color w:val="595959" w:themeColor="text1" w:themeTint="A6"/>
          <w:sz w:val="28"/>
          <w:szCs w:val="28"/>
        </w:rPr>
      </w:pPr>
    </w:p>
    <w:p w:rsidR="00103D40" w:rsidRDefault="00B60002" w:rsidP="00CF6FFE">
      <w:pPr>
        <w:tabs>
          <w:tab w:val="left" w:pos="720"/>
        </w:tabs>
        <w:spacing w:after="0" w:line="240" w:lineRule="auto"/>
        <w:jc w:val="both"/>
        <w:rPr>
          <w:rFonts w:ascii="Garamond" w:eastAsia="Calibri" w:hAnsi="Garamond" w:cs="Times New Roman"/>
          <w:color w:val="595959" w:themeColor="text1" w:themeTint="A6"/>
          <w:sz w:val="28"/>
          <w:szCs w:val="28"/>
        </w:rPr>
      </w:pPr>
      <w:r>
        <w:rPr>
          <w:rFonts w:ascii="Garamond" w:eastAsia="Calibri" w:hAnsi="Garamond" w:cs="Times New Roman"/>
          <w:color w:val="595959" w:themeColor="text1" w:themeTint="A6"/>
          <w:sz w:val="28"/>
          <w:szCs w:val="28"/>
        </w:rPr>
        <w:t xml:space="preserve">However, there are those </w:t>
      </w:r>
      <w:r w:rsidR="00361B11">
        <w:rPr>
          <w:rFonts w:ascii="Garamond" w:eastAsia="Calibri" w:hAnsi="Garamond" w:cs="Times New Roman"/>
          <w:color w:val="595959" w:themeColor="text1" w:themeTint="A6"/>
          <w:sz w:val="28"/>
          <w:szCs w:val="28"/>
        </w:rPr>
        <w:t>who believe ra</w:t>
      </w:r>
      <w:r>
        <w:rPr>
          <w:rFonts w:ascii="Garamond" w:eastAsia="Calibri" w:hAnsi="Garamond" w:cs="Times New Roman"/>
          <w:color w:val="595959" w:themeColor="text1" w:themeTint="A6"/>
          <w:sz w:val="28"/>
          <w:szCs w:val="28"/>
        </w:rPr>
        <w:t>tes can remain at or near current levels a</w:t>
      </w:r>
      <w:r w:rsidR="00561054">
        <w:rPr>
          <w:rFonts w:ascii="Garamond" w:eastAsia="Calibri" w:hAnsi="Garamond" w:cs="Times New Roman"/>
          <w:color w:val="595959" w:themeColor="text1" w:themeTint="A6"/>
          <w:sz w:val="28"/>
          <w:szCs w:val="28"/>
        </w:rPr>
        <w:t>s they feel t</w:t>
      </w:r>
      <w:r w:rsidR="00103D40">
        <w:rPr>
          <w:rFonts w:ascii="Garamond" w:eastAsia="Calibri" w:hAnsi="Garamond" w:cs="Times New Roman"/>
          <w:color w:val="595959" w:themeColor="text1" w:themeTint="A6"/>
          <w:sz w:val="28"/>
          <w:szCs w:val="28"/>
        </w:rPr>
        <w:t>he fiscal policies proposed would</w:t>
      </w:r>
      <w:r w:rsidR="00561054">
        <w:rPr>
          <w:rFonts w:ascii="Garamond" w:eastAsia="Calibri" w:hAnsi="Garamond" w:cs="Times New Roman"/>
          <w:color w:val="595959" w:themeColor="text1" w:themeTint="A6"/>
          <w:sz w:val="28"/>
          <w:szCs w:val="28"/>
        </w:rPr>
        <w:t xml:space="preserve"> </w:t>
      </w:r>
      <w:r w:rsidR="00103D40">
        <w:rPr>
          <w:rFonts w:ascii="Garamond" w:eastAsia="Calibri" w:hAnsi="Garamond" w:cs="Times New Roman"/>
          <w:color w:val="595959" w:themeColor="text1" w:themeTint="A6"/>
          <w:sz w:val="28"/>
          <w:szCs w:val="28"/>
        </w:rPr>
        <w:t>meet resistance</w:t>
      </w:r>
      <w:r w:rsidR="003A46A4">
        <w:rPr>
          <w:rFonts w:ascii="Garamond" w:eastAsia="Calibri" w:hAnsi="Garamond" w:cs="Times New Roman"/>
          <w:color w:val="595959" w:themeColor="text1" w:themeTint="A6"/>
          <w:sz w:val="28"/>
          <w:szCs w:val="28"/>
        </w:rPr>
        <w:t xml:space="preserve"> in</w:t>
      </w:r>
      <w:r w:rsidR="00561054">
        <w:rPr>
          <w:rFonts w:ascii="Garamond" w:eastAsia="Calibri" w:hAnsi="Garamond" w:cs="Times New Roman"/>
          <w:color w:val="595959" w:themeColor="text1" w:themeTint="A6"/>
          <w:sz w:val="28"/>
          <w:szCs w:val="28"/>
        </w:rPr>
        <w:t xml:space="preserve"> Congress due to their potential impact on the U.S. </w:t>
      </w:r>
      <w:r w:rsidR="003A46A4">
        <w:rPr>
          <w:rFonts w:ascii="Garamond" w:eastAsia="Calibri" w:hAnsi="Garamond" w:cs="Times New Roman"/>
          <w:color w:val="595959" w:themeColor="text1" w:themeTint="A6"/>
          <w:sz w:val="28"/>
          <w:szCs w:val="28"/>
        </w:rPr>
        <w:t>deficit and</w:t>
      </w:r>
      <w:r w:rsidR="00AA68A6">
        <w:rPr>
          <w:rFonts w:ascii="Garamond" w:eastAsia="Calibri" w:hAnsi="Garamond" w:cs="Times New Roman"/>
          <w:color w:val="595959" w:themeColor="text1" w:themeTint="A6"/>
          <w:sz w:val="28"/>
          <w:szCs w:val="28"/>
        </w:rPr>
        <w:t xml:space="preserve"> </w:t>
      </w:r>
      <w:r w:rsidR="00561054">
        <w:rPr>
          <w:rFonts w:ascii="Garamond" w:eastAsia="Calibri" w:hAnsi="Garamond" w:cs="Times New Roman"/>
          <w:color w:val="595959" w:themeColor="text1" w:themeTint="A6"/>
          <w:sz w:val="28"/>
          <w:szCs w:val="28"/>
        </w:rPr>
        <w:t>debt limit.</w:t>
      </w:r>
      <w:r w:rsidR="00AA68A6">
        <w:rPr>
          <w:rFonts w:ascii="Garamond" w:eastAsia="Calibri" w:hAnsi="Garamond" w:cs="Times New Roman"/>
          <w:color w:val="595959" w:themeColor="text1" w:themeTint="A6"/>
          <w:sz w:val="28"/>
          <w:szCs w:val="28"/>
        </w:rPr>
        <w:t xml:space="preserve"> Some also point</w:t>
      </w:r>
      <w:r w:rsidR="00361B11">
        <w:rPr>
          <w:rFonts w:ascii="Garamond" w:eastAsia="Calibri" w:hAnsi="Garamond" w:cs="Times New Roman"/>
          <w:color w:val="595959" w:themeColor="text1" w:themeTint="A6"/>
          <w:sz w:val="28"/>
          <w:szCs w:val="28"/>
        </w:rPr>
        <w:t xml:space="preserve"> to the changing demographics of the U.S. population</w:t>
      </w:r>
      <w:r w:rsidR="00103D40">
        <w:rPr>
          <w:rFonts w:ascii="Garamond" w:eastAsia="Calibri" w:hAnsi="Garamond" w:cs="Times New Roman"/>
          <w:color w:val="595959" w:themeColor="text1" w:themeTint="A6"/>
          <w:sz w:val="28"/>
          <w:szCs w:val="28"/>
        </w:rPr>
        <w:t xml:space="preserve"> where almost </w:t>
      </w:r>
      <w:r w:rsidR="00790766">
        <w:rPr>
          <w:rFonts w:ascii="Garamond" w:eastAsia="Calibri" w:hAnsi="Garamond" w:cs="Times New Roman"/>
          <w:color w:val="595959" w:themeColor="text1" w:themeTint="A6"/>
          <w:sz w:val="28"/>
          <w:szCs w:val="28"/>
        </w:rPr>
        <w:t>10,000 people</w:t>
      </w:r>
      <w:r w:rsidR="00103D40">
        <w:rPr>
          <w:rFonts w:ascii="Garamond" w:eastAsia="Calibri" w:hAnsi="Garamond" w:cs="Times New Roman"/>
          <w:color w:val="595959" w:themeColor="text1" w:themeTint="A6"/>
          <w:sz w:val="28"/>
          <w:szCs w:val="28"/>
        </w:rPr>
        <w:t xml:space="preserve"> per day</w:t>
      </w:r>
      <w:r w:rsidR="00790766">
        <w:rPr>
          <w:rFonts w:ascii="Garamond" w:eastAsia="Calibri" w:hAnsi="Garamond" w:cs="Times New Roman"/>
          <w:color w:val="595959" w:themeColor="text1" w:themeTint="A6"/>
          <w:sz w:val="28"/>
          <w:szCs w:val="28"/>
        </w:rPr>
        <w:t xml:space="preserve"> turn 65</w:t>
      </w:r>
      <w:r>
        <w:rPr>
          <w:rFonts w:ascii="Garamond" w:eastAsia="Calibri" w:hAnsi="Garamond" w:cs="Times New Roman"/>
          <w:color w:val="595959" w:themeColor="text1" w:themeTint="A6"/>
          <w:sz w:val="28"/>
          <w:szCs w:val="28"/>
        </w:rPr>
        <w:t xml:space="preserve"> years of ag</w:t>
      </w:r>
      <w:r w:rsidR="006C6FE3">
        <w:rPr>
          <w:rFonts w:ascii="Garamond" w:eastAsia="Calibri" w:hAnsi="Garamond" w:cs="Times New Roman"/>
          <w:color w:val="595959" w:themeColor="text1" w:themeTint="A6"/>
          <w:sz w:val="28"/>
          <w:szCs w:val="28"/>
        </w:rPr>
        <w:t xml:space="preserve">e - </w:t>
      </w:r>
      <w:r w:rsidR="00103D40">
        <w:rPr>
          <w:rFonts w:ascii="Garamond" w:eastAsia="Calibri" w:hAnsi="Garamond" w:cs="Times New Roman"/>
          <w:color w:val="595959" w:themeColor="text1" w:themeTint="A6"/>
          <w:sz w:val="28"/>
          <w:szCs w:val="28"/>
        </w:rPr>
        <w:t xml:space="preserve">a group </w:t>
      </w:r>
      <w:r w:rsidR="006C6FE3">
        <w:rPr>
          <w:rFonts w:ascii="Garamond" w:eastAsia="Calibri" w:hAnsi="Garamond" w:cs="Times New Roman"/>
          <w:color w:val="595959" w:themeColor="text1" w:themeTint="A6"/>
          <w:sz w:val="28"/>
          <w:szCs w:val="28"/>
        </w:rPr>
        <w:t xml:space="preserve">that </w:t>
      </w:r>
      <w:r w:rsidR="009A3834">
        <w:rPr>
          <w:rFonts w:ascii="Garamond" w:eastAsia="Calibri" w:hAnsi="Garamond" w:cs="Times New Roman"/>
          <w:color w:val="595959" w:themeColor="text1" w:themeTint="A6"/>
          <w:sz w:val="28"/>
          <w:szCs w:val="28"/>
        </w:rPr>
        <w:t>typically ha</w:t>
      </w:r>
      <w:r w:rsidR="006C6FE3">
        <w:rPr>
          <w:rFonts w:ascii="Garamond" w:eastAsia="Calibri" w:hAnsi="Garamond" w:cs="Times New Roman"/>
          <w:color w:val="595959" w:themeColor="text1" w:themeTint="A6"/>
          <w:sz w:val="28"/>
          <w:szCs w:val="28"/>
        </w:rPr>
        <w:t>s</w:t>
      </w:r>
      <w:r w:rsidR="009A3834">
        <w:rPr>
          <w:rFonts w:ascii="Garamond" w:eastAsia="Calibri" w:hAnsi="Garamond" w:cs="Times New Roman"/>
          <w:color w:val="595959" w:themeColor="text1" w:themeTint="A6"/>
          <w:sz w:val="28"/>
          <w:szCs w:val="28"/>
        </w:rPr>
        <w:t xml:space="preserve"> a higher </w:t>
      </w:r>
      <w:r w:rsidR="00103D40">
        <w:rPr>
          <w:rFonts w:ascii="Garamond" w:eastAsia="Calibri" w:hAnsi="Garamond" w:cs="Times New Roman"/>
          <w:color w:val="595959" w:themeColor="text1" w:themeTint="A6"/>
          <w:sz w:val="28"/>
          <w:szCs w:val="28"/>
        </w:rPr>
        <w:t>allocation to fixed</w:t>
      </w:r>
      <w:r w:rsidR="009A3834">
        <w:rPr>
          <w:rFonts w:ascii="Garamond" w:eastAsia="Calibri" w:hAnsi="Garamond" w:cs="Times New Roman"/>
          <w:color w:val="595959" w:themeColor="text1" w:themeTint="A6"/>
          <w:sz w:val="28"/>
          <w:szCs w:val="28"/>
        </w:rPr>
        <w:t xml:space="preserve"> income</w:t>
      </w:r>
      <w:r w:rsidR="00103D40">
        <w:rPr>
          <w:rFonts w:ascii="Garamond" w:eastAsia="Calibri" w:hAnsi="Garamond" w:cs="Times New Roman"/>
          <w:color w:val="595959" w:themeColor="text1" w:themeTint="A6"/>
          <w:sz w:val="28"/>
          <w:szCs w:val="28"/>
        </w:rPr>
        <w:t>.</w:t>
      </w:r>
    </w:p>
    <w:p w:rsidR="00103D40" w:rsidRDefault="00103D40" w:rsidP="00CF6FFE">
      <w:pPr>
        <w:tabs>
          <w:tab w:val="left" w:pos="720"/>
        </w:tabs>
        <w:spacing w:after="0" w:line="240" w:lineRule="auto"/>
        <w:jc w:val="both"/>
        <w:rPr>
          <w:rFonts w:ascii="Garamond" w:eastAsia="Calibri" w:hAnsi="Garamond" w:cs="Times New Roman"/>
          <w:color w:val="595959" w:themeColor="text1" w:themeTint="A6"/>
          <w:sz w:val="28"/>
          <w:szCs w:val="28"/>
        </w:rPr>
      </w:pPr>
    </w:p>
    <w:p w:rsidR="00D67834" w:rsidRDefault="006217CD" w:rsidP="00CF6FFE">
      <w:pPr>
        <w:tabs>
          <w:tab w:val="left" w:pos="720"/>
        </w:tabs>
        <w:spacing w:after="0" w:line="240" w:lineRule="auto"/>
        <w:jc w:val="both"/>
        <w:rPr>
          <w:rFonts w:ascii="Garamond" w:eastAsia="Calibri" w:hAnsi="Garamond" w:cs="Times New Roman"/>
          <w:color w:val="595959" w:themeColor="text1" w:themeTint="A6"/>
          <w:sz w:val="28"/>
          <w:szCs w:val="28"/>
        </w:rPr>
      </w:pPr>
      <w:r>
        <w:rPr>
          <w:rFonts w:ascii="Garamond" w:eastAsia="Calibri" w:hAnsi="Garamond" w:cs="Times New Roman"/>
          <w:color w:val="595959" w:themeColor="text1" w:themeTint="A6"/>
          <w:sz w:val="28"/>
          <w:szCs w:val="28"/>
        </w:rPr>
        <w:t xml:space="preserve">While we feel rates </w:t>
      </w:r>
      <w:r w:rsidR="006C6FE3">
        <w:rPr>
          <w:rFonts w:ascii="Garamond" w:eastAsia="Calibri" w:hAnsi="Garamond" w:cs="Times New Roman"/>
          <w:color w:val="595959" w:themeColor="text1" w:themeTint="A6"/>
          <w:sz w:val="28"/>
          <w:szCs w:val="28"/>
        </w:rPr>
        <w:t>in the short-</w:t>
      </w:r>
      <w:r w:rsidR="00491197">
        <w:rPr>
          <w:rFonts w:ascii="Garamond" w:eastAsia="Calibri" w:hAnsi="Garamond" w:cs="Times New Roman"/>
          <w:color w:val="595959" w:themeColor="text1" w:themeTint="A6"/>
          <w:sz w:val="28"/>
          <w:szCs w:val="28"/>
        </w:rPr>
        <w:t xml:space="preserve">term </w:t>
      </w:r>
      <w:r w:rsidR="007657E4">
        <w:rPr>
          <w:rFonts w:ascii="Garamond" w:eastAsia="Calibri" w:hAnsi="Garamond" w:cs="Times New Roman"/>
          <w:color w:val="595959" w:themeColor="text1" w:themeTint="A6"/>
          <w:sz w:val="28"/>
          <w:szCs w:val="28"/>
        </w:rPr>
        <w:t>could be volatile as headline news</w:t>
      </w:r>
      <w:r w:rsidR="003A46A4">
        <w:rPr>
          <w:rFonts w:ascii="Garamond" w:eastAsia="Calibri" w:hAnsi="Garamond" w:cs="Times New Roman"/>
          <w:color w:val="595959" w:themeColor="text1" w:themeTint="A6"/>
          <w:sz w:val="28"/>
          <w:szCs w:val="28"/>
        </w:rPr>
        <w:t xml:space="preserve"> from the new administration’s policies is digested by</w:t>
      </w:r>
      <w:r w:rsidR="007657E4">
        <w:rPr>
          <w:rFonts w:ascii="Garamond" w:eastAsia="Calibri" w:hAnsi="Garamond" w:cs="Times New Roman"/>
          <w:color w:val="595959" w:themeColor="text1" w:themeTint="A6"/>
          <w:sz w:val="28"/>
          <w:szCs w:val="28"/>
        </w:rPr>
        <w:t xml:space="preserve"> the market</w:t>
      </w:r>
      <w:r w:rsidR="00491197">
        <w:rPr>
          <w:rFonts w:ascii="Garamond" w:eastAsia="Calibri" w:hAnsi="Garamond" w:cs="Times New Roman"/>
          <w:color w:val="595959" w:themeColor="text1" w:themeTint="A6"/>
          <w:sz w:val="28"/>
          <w:szCs w:val="28"/>
        </w:rPr>
        <w:t xml:space="preserve">, we feel it is too early to </w:t>
      </w:r>
      <w:r w:rsidR="007657E4">
        <w:rPr>
          <w:rFonts w:ascii="Garamond" w:eastAsia="Calibri" w:hAnsi="Garamond" w:cs="Times New Roman"/>
          <w:color w:val="595959" w:themeColor="text1" w:themeTint="A6"/>
          <w:sz w:val="28"/>
          <w:szCs w:val="28"/>
        </w:rPr>
        <w:t xml:space="preserve">conclude that </w:t>
      </w:r>
      <w:r w:rsidR="00B60002">
        <w:rPr>
          <w:rFonts w:ascii="Garamond" w:eastAsia="Calibri" w:hAnsi="Garamond" w:cs="Times New Roman"/>
          <w:color w:val="595959" w:themeColor="text1" w:themeTint="A6"/>
          <w:sz w:val="28"/>
          <w:szCs w:val="28"/>
        </w:rPr>
        <w:t>rates will continue to trend upward ov</w:t>
      </w:r>
      <w:r w:rsidR="00EA09E3">
        <w:rPr>
          <w:rFonts w:ascii="Garamond" w:eastAsia="Calibri" w:hAnsi="Garamond" w:cs="Times New Roman"/>
          <w:color w:val="595959" w:themeColor="text1" w:themeTint="A6"/>
          <w:sz w:val="28"/>
          <w:szCs w:val="28"/>
        </w:rPr>
        <w:t>er the long term</w:t>
      </w:r>
      <w:r w:rsidR="00B60002">
        <w:rPr>
          <w:rFonts w:ascii="Garamond" w:eastAsia="Calibri" w:hAnsi="Garamond" w:cs="Times New Roman"/>
          <w:color w:val="595959" w:themeColor="text1" w:themeTint="A6"/>
          <w:sz w:val="28"/>
          <w:szCs w:val="28"/>
        </w:rPr>
        <w:t xml:space="preserve">. </w:t>
      </w:r>
      <w:r w:rsidR="007657E4">
        <w:rPr>
          <w:rFonts w:ascii="Garamond" w:eastAsia="Calibri" w:hAnsi="Garamond" w:cs="Times New Roman"/>
          <w:color w:val="595959" w:themeColor="text1" w:themeTint="A6"/>
          <w:sz w:val="28"/>
          <w:szCs w:val="28"/>
        </w:rPr>
        <w:t xml:space="preserve"> </w:t>
      </w:r>
      <w:r w:rsidR="003C12C3">
        <w:rPr>
          <w:rFonts w:ascii="Garamond" w:eastAsia="Calibri" w:hAnsi="Garamond" w:cs="Times New Roman"/>
          <w:color w:val="595959" w:themeColor="text1" w:themeTint="A6"/>
          <w:sz w:val="28"/>
          <w:szCs w:val="28"/>
        </w:rPr>
        <w:t xml:space="preserve">There are just too many unanswered questions at the moment. </w:t>
      </w:r>
      <w:r w:rsidR="0059417B">
        <w:rPr>
          <w:rFonts w:ascii="Garamond" w:eastAsia="Calibri" w:hAnsi="Garamond" w:cs="Times New Roman"/>
          <w:color w:val="595959" w:themeColor="text1" w:themeTint="A6"/>
          <w:sz w:val="28"/>
          <w:szCs w:val="28"/>
        </w:rPr>
        <w:t xml:space="preserve">Can campaign proposals be transformed to viable policies that can be agreed upon </w:t>
      </w:r>
      <w:r w:rsidR="006A3FE4">
        <w:rPr>
          <w:rFonts w:ascii="Garamond" w:eastAsia="Calibri" w:hAnsi="Garamond" w:cs="Times New Roman"/>
          <w:color w:val="595959" w:themeColor="text1" w:themeTint="A6"/>
          <w:sz w:val="28"/>
          <w:szCs w:val="28"/>
        </w:rPr>
        <w:t xml:space="preserve">by the President and Congress and enacted </w:t>
      </w:r>
      <w:r w:rsidR="0059417B">
        <w:rPr>
          <w:rFonts w:ascii="Garamond" w:eastAsia="Calibri" w:hAnsi="Garamond" w:cs="Times New Roman"/>
          <w:color w:val="595959" w:themeColor="text1" w:themeTint="A6"/>
          <w:sz w:val="28"/>
          <w:szCs w:val="28"/>
        </w:rPr>
        <w:t xml:space="preserve">in a timely manner? </w:t>
      </w:r>
      <w:r w:rsidR="00491197">
        <w:rPr>
          <w:rFonts w:ascii="Garamond" w:eastAsia="Calibri" w:hAnsi="Garamond" w:cs="Times New Roman"/>
          <w:color w:val="595959" w:themeColor="text1" w:themeTint="A6"/>
          <w:sz w:val="28"/>
          <w:szCs w:val="28"/>
        </w:rPr>
        <w:t>Will policy be successful and spur growth/</w:t>
      </w:r>
      <w:r w:rsidR="006A3FE4">
        <w:rPr>
          <w:rFonts w:ascii="Garamond" w:eastAsia="Calibri" w:hAnsi="Garamond" w:cs="Times New Roman"/>
          <w:color w:val="595959" w:themeColor="text1" w:themeTint="A6"/>
          <w:sz w:val="28"/>
          <w:szCs w:val="28"/>
        </w:rPr>
        <w:t>inflation pushing rates higher o</w:t>
      </w:r>
      <w:r w:rsidR="0059417B">
        <w:rPr>
          <w:rFonts w:ascii="Garamond" w:eastAsia="Calibri" w:hAnsi="Garamond" w:cs="Times New Roman"/>
          <w:color w:val="595959" w:themeColor="text1" w:themeTint="A6"/>
          <w:sz w:val="28"/>
          <w:szCs w:val="28"/>
        </w:rPr>
        <w:t>r w</w:t>
      </w:r>
      <w:r w:rsidR="00491197">
        <w:rPr>
          <w:rFonts w:ascii="Garamond" w:eastAsia="Calibri" w:hAnsi="Garamond" w:cs="Times New Roman"/>
          <w:color w:val="595959" w:themeColor="text1" w:themeTint="A6"/>
          <w:sz w:val="28"/>
          <w:szCs w:val="28"/>
        </w:rPr>
        <w:t>il</w:t>
      </w:r>
      <w:r w:rsidR="006A3FE4">
        <w:rPr>
          <w:rFonts w:ascii="Garamond" w:eastAsia="Calibri" w:hAnsi="Garamond" w:cs="Times New Roman"/>
          <w:color w:val="595959" w:themeColor="text1" w:themeTint="A6"/>
          <w:sz w:val="28"/>
          <w:szCs w:val="28"/>
        </w:rPr>
        <w:t xml:space="preserve">l it have a negative effect (trade/immigration) </w:t>
      </w:r>
      <w:r w:rsidR="00491197">
        <w:rPr>
          <w:rFonts w:ascii="Garamond" w:eastAsia="Calibri" w:hAnsi="Garamond" w:cs="Times New Roman"/>
          <w:color w:val="595959" w:themeColor="text1" w:themeTint="A6"/>
          <w:sz w:val="28"/>
          <w:szCs w:val="28"/>
        </w:rPr>
        <w:t>pushing the U.S. into</w:t>
      </w:r>
      <w:r w:rsidR="00AD2C2A">
        <w:rPr>
          <w:rFonts w:ascii="Garamond" w:eastAsia="Calibri" w:hAnsi="Garamond" w:cs="Times New Roman"/>
          <w:color w:val="595959" w:themeColor="text1" w:themeTint="A6"/>
          <w:sz w:val="28"/>
          <w:szCs w:val="28"/>
        </w:rPr>
        <w:t xml:space="preserve"> recession </w:t>
      </w:r>
      <w:r w:rsidR="00EA09E3">
        <w:rPr>
          <w:rFonts w:ascii="Garamond" w:eastAsia="Calibri" w:hAnsi="Garamond" w:cs="Times New Roman"/>
          <w:color w:val="595959" w:themeColor="text1" w:themeTint="A6"/>
          <w:sz w:val="28"/>
          <w:szCs w:val="28"/>
        </w:rPr>
        <w:t xml:space="preserve">and </w:t>
      </w:r>
      <w:r w:rsidR="00AD2C2A">
        <w:rPr>
          <w:rFonts w:ascii="Garamond" w:eastAsia="Calibri" w:hAnsi="Garamond" w:cs="Times New Roman"/>
          <w:color w:val="595959" w:themeColor="text1" w:themeTint="A6"/>
          <w:sz w:val="28"/>
          <w:szCs w:val="28"/>
        </w:rPr>
        <w:t xml:space="preserve">forcing rates to stall or </w:t>
      </w:r>
      <w:r w:rsidR="0059417B">
        <w:rPr>
          <w:rFonts w:ascii="Garamond" w:eastAsia="Calibri" w:hAnsi="Garamond" w:cs="Times New Roman"/>
          <w:color w:val="595959" w:themeColor="text1" w:themeTint="A6"/>
          <w:sz w:val="28"/>
          <w:szCs w:val="28"/>
        </w:rPr>
        <w:t xml:space="preserve">even </w:t>
      </w:r>
      <w:r w:rsidR="00AD2C2A">
        <w:rPr>
          <w:rFonts w:ascii="Garamond" w:eastAsia="Calibri" w:hAnsi="Garamond" w:cs="Times New Roman"/>
          <w:color w:val="595959" w:themeColor="text1" w:themeTint="A6"/>
          <w:sz w:val="28"/>
          <w:szCs w:val="28"/>
        </w:rPr>
        <w:t>move lower</w:t>
      </w:r>
      <w:r w:rsidR="00491197">
        <w:rPr>
          <w:rFonts w:ascii="Garamond" w:eastAsia="Calibri" w:hAnsi="Garamond" w:cs="Times New Roman"/>
          <w:color w:val="595959" w:themeColor="text1" w:themeTint="A6"/>
          <w:sz w:val="28"/>
          <w:szCs w:val="28"/>
        </w:rPr>
        <w:t xml:space="preserve">? </w:t>
      </w:r>
      <w:r w:rsidR="003A46A4">
        <w:rPr>
          <w:rFonts w:ascii="Garamond" w:eastAsia="Calibri" w:hAnsi="Garamond" w:cs="Times New Roman"/>
          <w:color w:val="595959" w:themeColor="text1" w:themeTint="A6"/>
          <w:sz w:val="28"/>
          <w:szCs w:val="28"/>
        </w:rPr>
        <w:t>Will demand from changes in demographics or lower rates abroad offset selling pressure keeping interest rate moves in check?</w:t>
      </w:r>
    </w:p>
    <w:p w:rsidR="0098711C" w:rsidRPr="0098711C" w:rsidRDefault="0098711C" w:rsidP="00E45E75">
      <w:pPr>
        <w:pBdr>
          <w:bottom w:val="single" w:sz="4" w:space="1" w:color="31849B" w:themeColor="accent5" w:themeShade="BF"/>
        </w:pBdr>
        <w:spacing w:after="0" w:line="240" w:lineRule="auto"/>
        <w:rPr>
          <w:rFonts w:ascii="Times New Roman" w:hAnsi="Times New Roman" w:cs="Times New Roman"/>
          <w:b/>
          <w:color w:val="215868" w:themeColor="accent5" w:themeShade="80"/>
          <w:sz w:val="18"/>
          <w:szCs w:val="18"/>
        </w:rPr>
      </w:pPr>
    </w:p>
    <w:p w:rsidR="00743E18" w:rsidRPr="00E45E75" w:rsidRDefault="00E45E75" w:rsidP="00E45E75">
      <w:pPr>
        <w:pBdr>
          <w:bottom w:val="single" w:sz="4" w:space="1" w:color="31849B" w:themeColor="accent5" w:themeShade="BF"/>
        </w:pBdr>
        <w:spacing w:after="0" w:line="240" w:lineRule="auto"/>
        <w:rPr>
          <w:rFonts w:ascii="Times New Roman" w:hAnsi="Times New Roman" w:cs="Times New Roman"/>
          <w:b/>
          <w:color w:val="215868" w:themeColor="accent5" w:themeShade="80"/>
          <w:sz w:val="40"/>
        </w:rPr>
      </w:pPr>
      <w:r w:rsidRPr="00E45E75">
        <w:rPr>
          <w:rFonts w:ascii="Times New Roman" w:hAnsi="Times New Roman" w:cs="Times New Roman"/>
          <w:b/>
          <w:color w:val="215868" w:themeColor="accent5" w:themeShade="80"/>
          <w:sz w:val="40"/>
        </w:rPr>
        <w:t>Our Portfolios</w:t>
      </w:r>
    </w:p>
    <w:p w:rsidR="003A7921" w:rsidRPr="003A7921" w:rsidRDefault="003A7921" w:rsidP="008E6B07">
      <w:pPr>
        <w:spacing w:after="0" w:line="240" w:lineRule="auto"/>
        <w:jc w:val="both"/>
        <w:rPr>
          <w:rFonts w:ascii="Garamond" w:eastAsia="Calibri" w:hAnsi="Garamond" w:cs="Times New Roman"/>
          <w:color w:val="595959" w:themeColor="text1" w:themeTint="A6"/>
          <w:sz w:val="14"/>
          <w:szCs w:val="14"/>
        </w:rPr>
      </w:pPr>
    </w:p>
    <w:p w:rsidR="003A7921" w:rsidRDefault="00D92EBD" w:rsidP="00830999">
      <w:pPr>
        <w:spacing w:after="0" w:line="240" w:lineRule="auto"/>
        <w:jc w:val="both"/>
        <w:rPr>
          <w:rFonts w:ascii="Garamond" w:eastAsia="Calibri" w:hAnsi="Garamond" w:cs="Times New Roman"/>
          <w:color w:val="595959" w:themeColor="text1" w:themeTint="A6"/>
          <w:sz w:val="28"/>
          <w:szCs w:val="28"/>
        </w:rPr>
      </w:pPr>
      <w:r>
        <w:rPr>
          <w:rFonts w:ascii="Garamond" w:eastAsia="Calibri" w:hAnsi="Garamond" w:cs="Times New Roman"/>
          <w:color w:val="595959" w:themeColor="text1" w:themeTint="A6"/>
          <w:sz w:val="28"/>
          <w:szCs w:val="28"/>
        </w:rPr>
        <w:t>On the taxable side, t</w:t>
      </w:r>
      <w:r w:rsidR="005935D9">
        <w:rPr>
          <w:rFonts w:ascii="Garamond" w:eastAsia="Calibri" w:hAnsi="Garamond" w:cs="Times New Roman"/>
          <w:color w:val="595959" w:themeColor="text1" w:themeTint="A6"/>
          <w:sz w:val="28"/>
          <w:szCs w:val="28"/>
        </w:rPr>
        <w:t>he shorter duration nature of our portfolios relative to the benchmarks helped performance during the quarter, as did the overweight to</w:t>
      </w:r>
      <w:r>
        <w:rPr>
          <w:rFonts w:ascii="Garamond" w:eastAsia="Calibri" w:hAnsi="Garamond" w:cs="Times New Roman"/>
          <w:color w:val="595959" w:themeColor="text1" w:themeTint="A6"/>
          <w:sz w:val="28"/>
          <w:szCs w:val="28"/>
        </w:rPr>
        <w:t xml:space="preserve"> corporate bonds for our</w:t>
      </w:r>
      <w:r w:rsidR="005935D9">
        <w:rPr>
          <w:rFonts w:ascii="Garamond" w:eastAsia="Calibri" w:hAnsi="Garamond" w:cs="Times New Roman"/>
          <w:color w:val="595959" w:themeColor="text1" w:themeTint="A6"/>
          <w:sz w:val="28"/>
          <w:szCs w:val="28"/>
        </w:rPr>
        <w:t xml:space="preserve"> portfolios.</w:t>
      </w:r>
      <w:r>
        <w:rPr>
          <w:rFonts w:ascii="Garamond" w:eastAsia="Calibri" w:hAnsi="Garamond" w:cs="Times New Roman"/>
          <w:color w:val="595959" w:themeColor="text1" w:themeTint="A6"/>
          <w:sz w:val="28"/>
          <w:szCs w:val="28"/>
        </w:rPr>
        <w:t xml:space="preserve"> We have made a conscious effort to avoid an allocation to US Treasuries</w:t>
      </w:r>
      <w:r w:rsidR="001167F3">
        <w:rPr>
          <w:rFonts w:ascii="Garamond" w:eastAsia="Calibri" w:hAnsi="Garamond" w:cs="Times New Roman"/>
          <w:color w:val="595959" w:themeColor="text1" w:themeTint="A6"/>
          <w:sz w:val="28"/>
          <w:szCs w:val="28"/>
        </w:rPr>
        <w:t xml:space="preserve"> on the intermediate and long-end of the yield curve,</w:t>
      </w:r>
      <w:r>
        <w:rPr>
          <w:rFonts w:ascii="Garamond" w:eastAsia="Calibri" w:hAnsi="Garamond" w:cs="Times New Roman"/>
          <w:color w:val="595959" w:themeColor="text1" w:themeTint="A6"/>
          <w:sz w:val="28"/>
          <w:szCs w:val="28"/>
        </w:rPr>
        <w:t xml:space="preserve"> as we currently see no value here. </w:t>
      </w:r>
      <w:r w:rsidR="005935D9">
        <w:rPr>
          <w:rFonts w:ascii="Garamond" w:eastAsia="Calibri" w:hAnsi="Garamond" w:cs="Times New Roman"/>
          <w:color w:val="595959" w:themeColor="text1" w:themeTint="A6"/>
          <w:sz w:val="28"/>
          <w:szCs w:val="28"/>
        </w:rPr>
        <w:t xml:space="preserve"> </w:t>
      </w:r>
      <w:r>
        <w:rPr>
          <w:rFonts w:ascii="Garamond" w:eastAsia="Calibri" w:hAnsi="Garamond" w:cs="Times New Roman"/>
          <w:color w:val="595959" w:themeColor="text1" w:themeTint="A6"/>
          <w:sz w:val="28"/>
          <w:szCs w:val="28"/>
        </w:rPr>
        <w:t>In addition, our allocation to multi-sector managers added</w:t>
      </w:r>
      <w:r w:rsidR="00EE59CA">
        <w:rPr>
          <w:rFonts w:ascii="Garamond" w:eastAsia="Calibri" w:hAnsi="Garamond" w:cs="Times New Roman"/>
          <w:color w:val="595959" w:themeColor="text1" w:themeTint="A6"/>
          <w:sz w:val="28"/>
          <w:szCs w:val="28"/>
        </w:rPr>
        <w:t xml:space="preserve"> to</w:t>
      </w:r>
      <w:r>
        <w:rPr>
          <w:rFonts w:ascii="Garamond" w:eastAsia="Calibri" w:hAnsi="Garamond" w:cs="Times New Roman"/>
          <w:color w:val="595959" w:themeColor="text1" w:themeTint="A6"/>
          <w:sz w:val="28"/>
          <w:szCs w:val="28"/>
        </w:rPr>
        <w:t xml:space="preserve"> </w:t>
      </w:r>
      <w:r w:rsidR="00EE59CA">
        <w:rPr>
          <w:rFonts w:ascii="Garamond" w:eastAsia="Calibri" w:hAnsi="Garamond" w:cs="Times New Roman"/>
          <w:color w:val="595959" w:themeColor="text1" w:themeTint="A6"/>
          <w:sz w:val="28"/>
          <w:szCs w:val="28"/>
        </w:rPr>
        <w:t>performance as these managers</w:t>
      </w:r>
      <w:r w:rsidR="00731E1E">
        <w:rPr>
          <w:rFonts w:ascii="Garamond" w:eastAsia="Calibri" w:hAnsi="Garamond" w:cs="Times New Roman"/>
          <w:color w:val="595959" w:themeColor="text1" w:themeTint="A6"/>
          <w:sz w:val="28"/>
          <w:szCs w:val="28"/>
        </w:rPr>
        <w:t xml:space="preserve"> were allocated to </w:t>
      </w:r>
      <w:r w:rsidR="00EE59CA">
        <w:rPr>
          <w:rFonts w:ascii="Garamond" w:eastAsia="Calibri" w:hAnsi="Garamond" w:cs="Times New Roman"/>
          <w:color w:val="595959" w:themeColor="text1" w:themeTint="A6"/>
          <w:sz w:val="28"/>
          <w:szCs w:val="28"/>
        </w:rPr>
        <w:t xml:space="preserve">sectors (high yield, bank loan, </w:t>
      </w:r>
      <w:r w:rsidR="00731F92">
        <w:rPr>
          <w:rFonts w:ascii="Garamond" w:eastAsia="Calibri" w:hAnsi="Garamond" w:cs="Times New Roman"/>
          <w:color w:val="595959" w:themeColor="text1" w:themeTint="A6"/>
          <w:sz w:val="28"/>
          <w:szCs w:val="28"/>
        </w:rPr>
        <w:t>preferred equity</w:t>
      </w:r>
      <w:bookmarkStart w:id="0" w:name="_GoBack"/>
      <w:bookmarkEnd w:id="0"/>
      <w:r w:rsidR="00DD7FA7">
        <w:rPr>
          <w:rFonts w:ascii="Garamond" w:eastAsia="Calibri" w:hAnsi="Garamond" w:cs="Times New Roman"/>
          <w:color w:val="595959" w:themeColor="text1" w:themeTint="A6"/>
          <w:sz w:val="28"/>
          <w:szCs w:val="28"/>
        </w:rPr>
        <w:t xml:space="preserve">, </w:t>
      </w:r>
      <w:r w:rsidR="00EE59CA">
        <w:rPr>
          <w:rFonts w:ascii="Garamond" w:eastAsia="Calibri" w:hAnsi="Garamond" w:cs="Times New Roman"/>
          <w:color w:val="595959" w:themeColor="text1" w:themeTint="A6"/>
          <w:sz w:val="28"/>
          <w:szCs w:val="28"/>
        </w:rPr>
        <w:t>etc</w:t>
      </w:r>
      <w:r w:rsidR="00731F92">
        <w:rPr>
          <w:rFonts w:ascii="Garamond" w:eastAsia="Calibri" w:hAnsi="Garamond" w:cs="Times New Roman"/>
          <w:color w:val="595959" w:themeColor="text1" w:themeTint="A6"/>
          <w:sz w:val="28"/>
          <w:szCs w:val="28"/>
        </w:rPr>
        <w:t>.</w:t>
      </w:r>
      <w:r w:rsidR="00EE59CA">
        <w:rPr>
          <w:rFonts w:ascii="Garamond" w:eastAsia="Calibri" w:hAnsi="Garamond" w:cs="Times New Roman"/>
          <w:color w:val="595959" w:themeColor="text1" w:themeTint="A6"/>
          <w:sz w:val="28"/>
          <w:szCs w:val="28"/>
        </w:rPr>
        <w:t xml:space="preserve">) that participated in the “risk-on” trade during the quarter.  </w:t>
      </w:r>
      <w:r w:rsidR="00731E1E">
        <w:rPr>
          <w:rFonts w:ascii="Garamond" w:eastAsia="Calibri" w:hAnsi="Garamond" w:cs="Times New Roman"/>
          <w:color w:val="595959" w:themeColor="text1" w:themeTint="A6"/>
          <w:sz w:val="28"/>
          <w:szCs w:val="28"/>
        </w:rPr>
        <w:t>On the tax-exempt side, we also maintained a shorter duration than the benchmark (in addition to having a small allocation of our model to taxable multi-sector) which helped buoy performance during the quarter. In both the taxable and tax-exempt models we did harvest tax losses during the quarter which were used to offset gains on the equity side. We re-entered these positions in early 2017 after the 30 day wash sale window had expired. We maintained our shorter</w:t>
      </w:r>
      <w:r w:rsidR="005935D9">
        <w:rPr>
          <w:rFonts w:ascii="Garamond" w:eastAsia="Calibri" w:hAnsi="Garamond" w:cs="Times New Roman"/>
          <w:color w:val="595959" w:themeColor="text1" w:themeTint="A6"/>
          <w:sz w:val="28"/>
          <w:szCs w:val="28"/>
        </w:rPr>
        <w:t xml:space="preserve"> positioning during t</w:t>
      </w:r>
      <w:r w:rsidR="00731E1E">
        <w:rPr>
          <w:rFonts w:ascii="Garamond" w:eastAsia="Calibri" w:hAnsi="Garamond" w:cs="Times New Roman"/>
          <w:color w:val="595959" w:themeColor="text1" w:themeTint="A6"/>
          <w:sz w:val="28"/>
          <w:szCs w:val="28"/>
        </w:rPr>
        <w:t>he fourth quarter and into 2017</w:t>
      </w:r>
      <w:r w:rsidR="005935D9">
        <w:rPr>
          <w:rFonts w:ascii="Garamond" w:eastAsia="Calibri" w:hAnsi="Garamond" w:cs="Times New Roman"/>
          <w:color w:val="595959" w:themeColor="text1" w:themeTint="A6"/>
          <w:sz w:val="28"/>
          <w:szCs w:val="28"/>
        </w:rPr>
        <w:t xml:space="preserve"> and will be monitoring economic data and the imp</w:t>
      </w:r>
      <w:r w:rsidR="00731E1E">
        <w:rPr>
          <w:rFonts w:ascii="Garamond" w:eastAsia="Calibri" w:hAnsi="Garamond" w:cs="Times New Roman"/>
          <w:color w:val="595959" w:themeColor="text1" w:themeTint="A6"/>
          <w:sz w:val="28"/>
          <w:szCs w:val="28"/>
        </w:rPr>
        <w:t>act of policy proposals closely in determ</w:t>
      </w:r>
      <w:r w:rsidR="00F92264">
        <w:rPr>
          <w:rFonts w:ascii="Garamond" w:eastAsia="Calibri" w:hAnsi="Garamond" w:cs="Times New Roman"/>
          <w:color w:val="595959" w:themeColor="text1" w:themeTint="A6"/>
          <w:sz w:val="28"/>
          <w:szCs w:val="28"/>
        </w:rPr>
        <w:t>ining what (</w:t>
      </w:r>
      <w:r w:rsidR="00731E1E">
        <w:rPr>
          <w:rFonts w:ascii="Garamond" w:eastAsia="Calibri" w:hAnsi="Garamond" w:cs="Times New Roman"/>
          <w:color w:val="595959" w:themeColor="text1" w:themeTint="A6"/>
          <w:sz w:val="28"/>
          <w:szCs w:val="28"/>
        </w:rPr>
        <w:t xml:space="preserve">if </w:t>
      </w:r>
      <w:r w:rsidR="00F92264">
        <w:rPr>
          <w:rFonts w:ascii="Garamond" w:eastAsia="Calibri" w:hAnsi="Garamond" w:cs="Times New Roman"/>
          <w:color w:val="595959" w:themeColor="text1" w:themeTint="A6"/>
          <w:sz w:val="28"/>
          <w:szCs w:val="28"/>
        </w:rPr>
        <w:t xml:space="preserve">any) </w:t>
      </w:r>
      <w:r w:rsidR="00731E1E">
        <w:rPr>
          <w:rFonts w:ascii="Garamond" w:eastAsia="Calibri" w:hAnsi="Garamond" w:cs="Times New Roman"/>
          <w:color w:val="595959" w:themeColor="text1" w:themeTint="A6"/>
          <w:sz w:val="28"/>
          <w:szCs w:val="28"/>
        </w:rPr>
        <w:t xml:space="preserve">changes to our models should be made. </w:t>
      </w:r>
    </w:p>
    <w:p w:rsidR="006C6FE3" w:rsidRDefault="006C6FE3" w:rsidP="00830999">
      <w:pPr>
        <w:spacing w:after="0" w:line="240" w:lineRule="auto"/>
        <w:jc w:val="both"/>
        <w:rPr>
          <w:rFonts w:ascii="Garamond" w:eastAsia="Calibri" w:hAnsi="Garamond" w:cs="Times New Roman"/>
          <w:color w:val="595959" w:themeColor="text1" w:themeTint="A6"/>
          <w:sz w:val="28"/>
          <w:szCs w:val="28"/>
        </w:rPr>
      </w:pPr>
    </w:p>
    <w:p w:rsidR="006C6FE3" w:rsidRDefault="006C6FE3" w:rsidP="00830999">
      <w:pPr>
        <w:spacing w:after="0" w:line="240" w:lineRule="auto"/>
        <w:jc w:val="both"/>
        <w:rPr>
          <w:rFonts w:ascii="Garamond" w:eastAsia="Calibri" w:hAnsi="Garamond" w:cs="Times New Roman"/>
          <w:color w:val="595959" w:themeColor="text1" w:themeTint="A6"/>
          <w:sz w:val="28"/>
          <w:szCs w:val="28"/>
        </w:rPr>
      </w:pPr>
    </w:p>
    <w:p w:rsidR="001167F3" w:rsidRPr="001167F3" w:rsidRDefault="001167F3" w:rsidP="00830999">
      <w:pPr>
        <w:spacing w:after="0" w:line="240" w:lineRule="auto"/>
        <w:jc w:val="both"/>
        <w:rPr>
          <w:rFonts w:ascii="Garamond" w:eastAsia="Calibri" w:hAnsi="Garamond" w:cs="Arial"/>
          <w:bCs/>
          <w:sz w:val="28"/>
          <w:szCs w:val="20"/>
        </w:rPr>
      </w:pPr>
    </w:p>
    <w:p w:rsidR="00AC78BA" w:rsidRPr="00DF7C10" w:rsidRDefault="00AC78BA" w:rsidP="00830999">
      <w:pPr>
        <w:spacing w:after="0" w:line="240" w:lineRule="auto"/>
        <w:jc w:val="both"/>
        <w:rPr>
          <w:rFonts w:ascii="Morningstar 1" w:eastAsia="Calibri" w:hAnsi="Morningstar 1" w:cs="Arial"/>
          <w:b/>
          <w:bCs/>
          <w:sz w:val="20"/>
          <w:szCs w:val="20"/>
        </w:rPr>
      </w:pPr>
      <w:r w:rsidRPr="00DF7C10">
        <w:rPr>
          <w:rFonts w:ascii="Morningstar 1" w:eastAsia="Calibri" w:hAnsi="Morningstar 1" w:cs="Arial"/>
          <w:b/>
          <w:bCs/>
          <w:sz w:val="20"/>
          <w:szCs w:val="20"/>
        </w:rPr>
        <w:t>Clients of Centerpoint should contact us if there have been any changes to your financial situation or investment objectives, or</w:t>
      </w:r>
      <w:r w:rsidR="00876CDF">
        <w:rPr>
          <w:rFonts w:ascii="Morningstar 1" w:eastAsia="Calibri" w:hAnsi="Morningstar 1" w:cs="Arial"/>
          <w:b/>
          <w:bCs/>
          <w:sz w:val="20"/>
          <w:szCs w:val="20"/>
        </w:rPr>
        <w:t xml:space="preserve"> if you</w:t>
      </w:r>
      <w:r w:rsidRPr="00DF7C10">
        <w:rPr>
          <w:rFonts w:ascii="Morningstar 1" w:eastAsia="Calibri" w:hAnsi="Morningstar 1" w:cs="Arial"/>
          <w:b/>
          <w:bCs/>
          <w:sz w:val="20"/>
          <w:szCs w:val="20"/>
        </w:rPr>
        <w:t xml:space="preserve"> wish to place or modify any restrictions on the management of your accounts.</w:t>
      </w:r>
    </w:p>
    <w:p w:rsidR="00AC78BA" w:rsidRPr="00AC78BA" w:rsidRDefault="00AC78BA" w:rsidP="00830999">
      <w:pPr>
        <w:spacing w:after="0" w:line="240" w:lineRule="auto"/>
        <w:jc w:val="both"/>
        <w:rPr>
          <w:rFonts w:ascii="Morningstar 1" w:eastAsia="Calibri" w:hAnsi="Morningstar 1" w:cs="Arial"/>
          <w:b/>
          <w:bCs/>
          <w:sz w:val="14"/>
          <w:szCs w:val="14"/>
        </w:rPr>
      </w:pPr>
    </w:p>
    <w:p w:rsidR="00C74E6C" w:rsidRDefault="00E77536" w:rsidP="00830999">
      <w:pPr>
        <w:spacing w:after="0" w:line="240" w:lineRule="auto"/>
        <w:jc w:val="both"/>
        <w:rPr>
          <w:rFonts w:ascii="Morningstar 1" w:eastAsia="Calibri" w:hAnsi="Morningstar 1" w:cs="Arial"/>
          <w:bCs/>
          <w:sz w:val="16"/>
          <w:szCs w:val="16"/>
        </w:rPr>
      </w:pPr>
      <w:r w:rsidRPr="00E77536">
        <w:rPr>
          <w:rFonts w:ascii="Morningstar 1" w:eastAsia="Calibri" w:hAnsi="Morningstar 1" w:cs="Arial"/>
          <w:bCs/>
          <w:sz w:val="16"/>
          <w:szCs w:val="16"/>
        </w:rPr>
        <w:t>Centerpoint Advisors, LLC is an investment advisor registered with the Securities and Exchange Commission. Centerpoint Advisors, LLC provides fundamental investment management services to investors. The views expressed contain certain forward-looking statements. Centerpoint Advisors believe these forward-looking statements to be reasonable, although they are forecasts and actual results may be meaningfully different. Actual events may cause adjustments in portfolio management strategies from those currently expected to be employed. This material represents an assessment of the market at a particular time and is not a guarantee of future results. This information should not be relied upon by the reader as research or investment advice regarding any security in particular. The performance data quoted represents past performance. Past performance does not guarantee future results. Current performance may be lower or higher than the performance quoted. By investing in high yield bonds you may be subjected to greater price volatility based on fluctuations in issuer and credit quality. When investing in bonds, you are subject, but not limited to, the interest rate, inflation and credit risks associated with the underlying bonds. Bonds may be worth less than original cost upon redemption or maturity. All data sourced from Bloomberg and Morningstar Direct.</w:t>
      </w:r>
    </w:p>
    <w:p w:rsidR="00876CDF" w:rsidRPr="00DF7C10" w:rsidRDefault="00876CDF" w:rsidP="00830999">
      <w:pPr>
        <w:spacing w:after="0" w:line="240" w:lineRule="auto"/>
        <w:jc w:val="both"/>
        <w:rPr>
          <w:rFonts w:ascii="Morningstar 1" w:eastAsia="Calibri" w:hAnsi="Morningstar 1" w:cs="Arial"/>
          <w:bCs/>
          <w:sz w:val="16"/>
          <w:szCs w:val="16"/>
        </w:rPr>
      </w:pPr>
    </w:p>
    <w:p w:rsidR="002F70F1" w:rsidRDefault="002F70F1" w:rsidP="00830999">
      <w:pPr>
        <w:spacing w:after="0" w:line="240" w:lineRule="auto"/>
        <w:jc w:val="both"/>
        <w:rPr>
          <w:rFonts w:ascii="Morningstar 1" w:eastAsia="Calibri" w:hAnsi="Morningstar 1" w:cs="Arial"/>
          <w:bCs/>
          <w:sz w:val="14"/>
          <w:szCs w:val="14"/>
        </w:rPr>
      </w:pPr>
    </w:p>
    <w:p w:rsidR="002F70F1" w:rsidRPr="002F70F1" w:rsidRDefault="002F70F1" w:rsidP="00B07CDF">
      <w:pPr>
        <w:pBdr>
          <w:top w:val="single" w:sz="4" w:space="1" w:color="auto"/>
        </w:pBdr>
        <w:spacing w:after="0" w:line="240" w:lineRule="auto"/>
        <w:jc w:val="center"/>
        <w:rPr>
          <w:rFonts w:ascii="Garamond" w:hAnsi="Garamond" w:cs="Calibri"/>
        </w:rPr>
      </w:pPr>
      <w:r w:rsidRPr="002F70F1">
        <w:rPr>
          <w:rFonts w:ascii="Garamond" w:hAnsi="Garamond" w:cs="Calibri"/>
        </w:rPr>
        <w:t xml:space="preserve">Centerpoint Advisors, LLC 175 Highland Avenue, Suite 302 Needham, MA 02494 Ph: 781.400.1748 </w:t>
      </w:r>
    </w:p>
    <w:p w:rsidR="00EB26BD" w:rsidRDefault="002F70F1" w:rsidP="00DF7C10">
      <w:pPr>
        <w:pBdr>
          <w:top w:val="single" w:sz="4" w:space="1" w:color="auto"/>
        </w:pBdr>
        <w:spacing w:after="0" w:line="240" w:lineRule="auto"/>
        <w:jc w:val="center"/>
        <w:rPr>
          <w:rFonts w:ascii="Garamond" w:hAnsi="Garamond" w:cs="Calibri"/>
        </w:rPr>
      </w:pPr>
      <w:r w:rsidRPr="002F70F1">
        <w:rPr>
          <w:rFonts w:ascii="Garamond" w:hAnsi="Garamond" w:cs="Calibri"/>
        </w:rPr>
        <w:t xml:space="preserve">Fax: 781.400.1749 </w:t>
      </w:r>
      <w:hyperlink r:id="rId13" w:history="1">
        <w:r w:rsidRPr="002F70F1">
          <w:rPr>
            <w:rStyle w:val="Hyperlink"/>
            <w:rFonts w:ascii="Garamond" w:hAnsi="Garamond" w:cs="Calibri"/>
          </w:rPr>
          <w:t>www.centerpointadvisors.net</w:t>
        </w:r>
      </w:hyperlink>
    </w:p>
    <w:sectPr w:rsidR="00EB26BD" w:rsidSect="00BF2E85">
      <w:pgSz w:w="12240" w:h="15840"/>
      <w:pgMar w:top="576"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4B0" w:rsidRDefault="001A14B0" w:rsidP="00385CD9">
      <w:pPr>
        <w:spacing w:after="0" w:line="240" w:lineRule="auto"/>
      </w:pPr>
      <w:r>
        <w:separator/>
      </w:r>
    </w:p>
  </w:endnote>
  <w:endnote w:type="continuationSeparator" w:id="0">
    <w:p w:rsidR="001A14B0" w:rsidRDefault="001A14B0" w:rsidP="0038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rningstar 1">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4B0" w:rsidRDefault="001A14B0" w:rsidP="00385CD9">
      <w:pPr>
        <w:spacing w:after="0" w:line="240" w:lineRule="auto"/>
      </w:pPr>
      <w:r>
        <w:separator/>
      </w:r>
    </w:p>
  </w:footnote>
  <w:footnote w:type="continuationSeparator" w:id="0">
    <w:p w:rsidR="001A14B0" w:rsidRDefault="001A14B0" w:rsidP="00385CD9">
      <w:pPr>
        <w:spacing w:after="0" w:line="240" w:lineRule="auto"/>
      </w:pPr>
      <w:r>
        <w:continuationSeparator/>
      </w:r>
    </w:p>
  </w:footnote>
  <w:footnote w:id="1">
    <w:p w:rsidR="0098711C" w:rsidRDefault="0098711C">
      <w:pPr>
        <w:pStyle w:val="FootnoteText"/>
      </w:pPr>
      <w:r w:rsidRPr="0098711C">
        <w:rPr>
          <w:rStyle w:val="FootnoteReference"/>
          <w:sz w:val="15"/>
          <w:szCs w:val="15"/>
        </w:rPr>
        <w:footnoteRef/>
      </w:r>
      <w:r w:rsidRPr="0098711C">
        <w:rPr>
          <w:sz w:val="15"/>
          <w:szCs w:val="15"/>
        </w:rPr>
        <w:t xml:space="preserve"> Fixed income sectors</w:t>
      </w:r>
      <w:r>
        <w:rPr>
          <w:sz w:val="15"/>
          <w:szCs w:val="15"/>
        </w:rPr>
        <w:t xml:space="preserve"> shown above </w:t>
      </w:r>
      <w:r w:rsidRPr="005A6427">
        <w:rPr>
          <w:sz w:val="15"/>
          <w:szCs w:val="15"/>
        </w:rPr>
        <w:t>are represented by the following indices: U.S. Aggregate Bond: Barclays U.S. Aggregate Bond; Short-Term Corporates: BofAML U.S. Corps 1-5 YR; Intermediate-Term Corporates: BofAML U.S. Corps 5-10 YR; Long-Term Corporates: BofAML U.S. Corps 10+ YR; Mortgage-Backed: Barclays U.S. MBS; High Yield: BofAML U.S. Corps HY Master II; Bank Loan/Floating Rate: S&amp;P/LSTA Leveraged Loan 100; Global: Barclays Global Aggregate ex-USD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7B683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j0115836"/>
      </v:shape>
    </w:pict>
  </w:numPicBullet>
  <w:abstractNum w:abstractNumId="0" w15:restartNumberingAfterBreak="0">
    <w:nsid w:val="00D944FE"/>
    <w:multiLevelType w:val="hybridMultilevel"/>
    <w:tmpl w:val="235A85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E37BC6"/>
    <w:multiLevelType w:val="hybridMultilevel"/>
    <w:tmpl w:val="43C2E9A4"/>
    <w:lvl w:ilvl="0" w:tplc="BAA6190C">
      <w:start w:val="1"/>
      <w:numFmt w:val="bullet"/>
      <w:lvlText w:val=""/>
      <w:lvlJc w:val="left"/>
      <w:pPr>
        <w:ind w:left="630" w:hanging="360"/>
      </w:pPr>
      <w:rPr>
        <w:rFonts w:ascii="Wingdings 2" w:hAnsi="Wingdings 2" w:hint="default"/>
        <w:b/>
        <w:dstrike w:val="0"/>
        <w:color w:val="C1A875"/>
        <w:sz w:val="22"/>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AA0498F"/>
    <w:multiLevelType w:val="hybridMultilevel"/>
    <w:tmpl w:val="8E3297BE"/>
    <w:lvl w:ilvl="0" w:tplc="59BC14D6">
      <w:start w:val="1"/>
      <w:numFmt w:val="bullet"/>
      <w:lvlText w:val=""/>
      <w:lvlPicBulletId w:val="0"/>
      <w:lvlJc w:val="left"/>
      <w:pPr>
        <w:ind w:left="720" w:hanging="360"/>
      </w:pPr>
      <w:rPr>
        <w:rFonts w:ascii="Symbol" w:hAnsi="Symbol" w:hint="default"/>
        <w:b/>
        <w:dstrike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96980"/>
    <w:multiLevelType w:val="hybridMultilevel"/>
    <w:tmpl w:val="598CE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3C1428"/>
    <w:multiLevelType w:val="hybridMultilevel"/>
    <w:tmpl w:val="0338F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808DF"/>
    <w:multiLevelType w:val="hybridMultilevel"/>
    <w:tmpl w:val="EEEC7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6B1B09"/>
    <w:multiLevelType w:val="hybridMultilevel"/>
    <w:tmpl w:val="CBF87306"/>
    <w:lvl w:ilvl="0" w:tplc="59BC14D6">
      <w:start w:val="1"/>
      <w:numFmt w:val="bullet"/>
      <w:lvlText w:val=""/>
      <w:lvlPicBulletId w:val="0"/>
      <w:lvlJc w:val="left"/>
      <w:pPr>
        <w:ind w:left="630" w:hanging="360"/>
      </w:pPr>
      <w:rPr>
        <w:rFonts w:ascii="Symbol" w:hAnsi="Symbol" w:hint="default"/>
        <w:b/>
        <w:dstrike w:val="0"/>
        <w:color w:val="auto"/>
        <w:sz w:val="22"/>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1754F25"/>
    <w:multiLevelType w:val="hybridMultilevel"/>
    <w:tmpl w:val="0186A9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24273AF"/>
    <w:multiLevelType w:val="hybridMultilevel"/>
    <w:tmpl w:val="2C6A3E86"/>
    <w:lvl w:ilvl="0" w:tplc="F1B08F06">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2566B63"/>
    <w:multiLevelType w:val="hybridMultilevel"/>
    <w:tmpl w:val="23ACEC12"/>
    <w:lvl w:ilvl="0" w:tplc="59BC14D6">
      <w:start w:val="1"/>
      <w:numFmt w:val="bullet"/>
      <w:lvlText w:val=""/>
      <w:lvlPicBulletId w:val="0"/>
      <w:lvlJc w:val="left"/>
      <w:pPr>
        <w:ind w:left="720" w:hanging="360"/>
      </w:pPr>
      <w:rPr>
        <w:rFonts w:ascii="Symbol" w:hAnsi="Symbol" w:hint="default"/>
        <w:b/>
        <w:dstrike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64CDE"/>
    <w:multiLevelType w:val="hybridMultilevel"/>
    <w:tmpl w:val="4B6860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432BB"/>
    <w:multiLevelType w:val="hybridMultilevel"/>
    <w:tmpl w:val="C9963E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06348"/>
    <w:multiLevelType w:val="hybridMultilevel"/>
    <w:tmpl w:val="936299BE"/>
    <w:lvl w:ilvl="0" w:tplc="9C4C994A">
      <w:start w:val="1"/>
      <w:numFmt w:val="bullet"/>
      <w:lvlText w:val=""/>
      <w:lvlJc w:val="left"/>
      <w:pPr>
        <w:ind w:left="630" w:hanging="360"/>
      </w:pPr>
      <w:rPr>
        <w:rFonts w:ascii="Wingdings 2" w:hAnsi="Wingdings 2" w:hint="default"/>
        <w:b/>
        <w:dstrike w:val="0"/>
        <w:color w:val="C1A875"/>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34747D69"/>
    <w:multiLevelType w:val="hybridMultilevel"/>
    <w:tmpl w:val="25C2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A2B6E"/>
    <w:multiLevelType w:val="hybridMultilevel"/>
    <w:tmpl w:val="8C52ADE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3B7001FF"/>
    <w:multiLevelType w:val="hybridMultilevel"/>
    <w:tmpl w:val="8B9AF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E811CC1"/>
    <w:multiLevelType w:val="hybridMultilevel"/>
    <w:tmpl w:val="85CA3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E4FE5"/>
    <w:multiLevelType w:val="hybridMultilevel"/>
    <w:tmpl w:val="980A2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214CA"/>
    <w:multiLevelType w:val="hybridMultilevel"/>
    <w:tmpl w:val="8E864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E2CC9"/>
    <w:multiLevelType w:val="hybridMultilevel"/>
    <w:tmpl w:val="C5C4A6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57F11"/>
    <w:multiLevelType w:val="hybridMultilevel"/>
    <w:tmpl w:val="4EC8BC32"/>
    <w:lvl w:ilvl="0" w:tplc="345872D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F3A15"/>
    <w:multiLevelType w:val="hybridMultilevel"/>
    <w:tmpl w:val="FB72E7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B4180"/>
    <w:multiLevelType w:val="hybridMultilevel"/>
    <w:tmpl w:val="1BB09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B7C73"/>
    <w:multiLevelType w:val="hybridMultilevel"/>
    <w:tmpl w:val="2D16F1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D6ACA"/>
    <w:multiLevelType w:val="hybridMultilevel"/>
    <w:tmpl w:val="4E92C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F51C3B"/>
    <w:multiLevelType w:val="hybridMultilevel"/>
    <w:tmpl w:val="72BC2F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A47CE"/>
    <w:multiLevelType w:val="hybridMultilevel"/>
    <w:tmpl w:val="CEF65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A0CDB"/>
    <w:multiLevelType w:val="hybridMultilevel"/>
    <w:tmpl w:val="E2D46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E288E"/>
    <w:multiLevelType w:val="hybridMultilevel"/>
    <w:tmpl w:val="249C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1A3903"/>
    <w:multiLevelType w:val="hybridMultilevel"/>
    <w:tmpl w:val="CC7E7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52557"/>
    <w:multiLevelType w:val="hybridMultilevel"/>
    <w:tmpl w:val="6B76E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1E523B"/>
    <w:multiLevelType w:val="hybridMultilevel"/>
    <w:tmpl w:val="B18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14A18"/>
    <w:multiLevelType w:val="hybridMultilevel"/>
    <w:tmpl w:val="9A78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315F8"/>
    <w:multiLevelType w:val="hybridMultilevel"/>
    <w:tmpl w:val="128CD2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7D89381D"/>
    <w:multiLevelType w:val="hybridMultilevel"/>
    <w:tmpl w:val="4E72EB74"/>
    <w:lvl w:ilvl="0" w:tplc="67C2F5F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8"/>
  </w:num>
  <w:num w:numId="4">
    <w:abstractNumId w:val="14"/>
  </w:num>
  <w:num w:numId="5">
    <w:abstractNumId w:val="20"/>
  </w:num>
  <w:num w:numId="6">
    <w:abstractNumId w:val="34"/>
  </w:num>
  <w:num w:numId="7">
    <w:abstractNumId w:val="31"/>
  </w:num>
  <w:num w:numId="8">
    <w:abstractNumId w:val="0"/>
  </w:num>
  <w:num w:numId="9">
    <w:abstractNumId w:val="13"/>
  </w:num>
  <w:num w:numId="10">
    <w:abstractNumId w:val="30"/>
  </w:num>
  <w:num w:numId="11">
    <w:abstractNumId w:val="32"/>
  </w:num>
  <w:num w:numId="12">
    <w:abstractNumId w:val="24"/>
  </w:num>
  <w:num w:numId="13">
    <w:abstractNumId w:val="26"/>
  </w:num>
  <w:num w:numId="14">
    <w:abstractNumId w:val="23"/>
  </w:num>
  <w:num w:numId="15">
    <w:abstractNumId w:val="27"/>
  </w:num>
  <w:num w:numId="16">
    <w:abstractNumId w:val="11"/>
  </w:num>
  <w:num w:numId="17">
    <w:abstractNumId w:val="16"/>
  </w:num>
  <w:num w:numId="18">
    <w:abstractNumId w:val="25"/>
  </w:num>
  <w:num w:numId="19">
    <w:abstractNumId w:val="17"/>
  </w:num>
  <w:num w:numId="20">
    <w:abstractNumId w:val="4"/>
  </w:num>
  <w:num w:numId="21">
    <w:abstractNumId w:val="10"/>
  </w:num>
  <w:num w:numId="22">
    <w:abstractNumId w:val="3"/>
  </w:num>
  <w:num w:numId="23">
    <w:abstractNumId w:val="5"/>
  </w:num>
  <w:num w:numId="24">
    <w:abstractNumId w:val="15"/>
  </w:num>
  <w:num w:numId="25">
    <w:abstractNumId w:val="22"/>
  </w:num>
  <w:num w:numId="26">
    <w:abstractNumId w:val="28"/>
  </w:num>
  <w:num w:numId="27">
    <w:abstractNumId w:val="6"/>
  </w:num>
  <w:num w:numId="28">
    <w:abstractNumId w:val="2"/>
  </w:num>
  <w:num w:numId="29">
    <w:abstractNumId w:val="33"/>
  </w:num>
  <w:num w:numId="30">
    <w:abstractNumId w:val="7"/>
  </w:num>
  <w:num w:numId="31">
    <w:abstractNumId w:val="9"/>
  </w:num>
  <w:num w:numId="32">
    <w:abstractNumId w:val="18"/>
  </w:num>
  <w:num w:numId="33">
    <w:abstractNumId w:val="29"/>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D9"/>
    <w:rsid w:val="00004DB7"/>
    <w:rsid w:val="000053B5"/>
    <w:rsid w:val="000123C5"/>
    <w:rsid w:val="00012B11"/>
    <w:rsid w:val="000149D5"/>
    <w:rsid w:val="0001661A"/>
    <w:rsid w:val="00020F34"/>
    <w:rsid w:val="000219DC"/>
    <w:rsid w:val="0002335D"/>
    <w:rsid w:val="0002366D"/>
    <w:rsid w:val="00024804"/>
    <w:rsid w:val="00024DE8"/>
    <w:rsid w:val="00026EF9"/>
    <w:rsid w:val="000304BB"/>
    <w:rsid w:val="0003282C"/>
    <w:rsid w:val="00033C11"/>
    <w:rsid w:val="000342EC"/>
    <w:rsid w:val="0003490C"/>
    <w:rsid w:val="00034D6A"/>
    <w:rsid w:val="0003509B"/>
    <w:rsid w:val="0003557E"/>
    <w:rsid w:val="00036C9D"/>
    <w:rsid w:val="00037E4C"/>
    <w:rsid w:val="00040BEE"/>
    <w:rsid w:val="000421F3"/>
    <w:rsid w:val="000422F0"/>
    <w:rsid w:val="000429DE"/>
    <w:rsid w:val="000430F0"/>
    <w:rsid w:val="00047127"/>
    <w:rsid w:val="00050485"/>
    <w:rsid w:val="000516A1"/>
    <w:rsid w:val="000520BC"/>
    <w:rsid w:val="00052916"/>
    <w:rsid w:val="00053699"/>
    <w:rsid w:val="000539F8"/>
    <w:rsid w:val="0005494B"/>
    <w:rsid w:val="00055CE8"/>
    <w:rsid w:val="00055DB4"/>
    <w:rsid w:val="00056678"/>
    <w:rsid w:val="00057A79"/>
    <w:rsid w:val="00057FF7"/>
    <w:rsid w:val="000600DB"/>
    <w:rsid w:val="000615D6"/>
    <w:rsid w:val="00061696"/>
    <w:rsid w:val="00061A53"/>
    <w:rsid w:val="000635D9"/>
    <w:rsid w:val="000637BC"/>
    <w:rsid w:val="000640C9"/>
    <w:rsid w:val="0006414B"/>
    <w:rsid w:val="000646BF"/>
    <w:rsid w:val="00065CEE"/>
    <w:rsid w:val="00065D03"/>
    <w:rsid w:val="0006665F"/>
    <w:rsid w:val="00066A38"/>
    <w:rsid w:val="00070003"/>
    <w:rsid w:val="00070CDE"/>
    <w:rsid w:val="000716B2"/>
    <w:rsid w:val="00072B8E"/>
    <w:rsid w:val="00072DAC"/>
    <w:rsid w:val="0007384A"/>
    <w:rsid w:val="00076F3C"/>
    <w:rsid w:val="00080816"/>
    <w:rsid w:val="000815C1"/>
    <w:rsid w:val="000824BA"/>
    <w:rsid w:val="000836CD"/>
    <w:rsid w:val="00085C88"/>
    <w:rsid w:val="000867EE"/>
    <w:rsid w:val="00086A0A"/>
    <w:rsid w:val="0008702D"/>
    <w:rsid w:val="00087A57"/>
    <w:rsid w:val="00094F83"/>
    <w:rsid w:val="00095E79"/>
    <w:rsid w:val="00095FCC"/>
    <w:rsid w:val="00097A0A"/>
    <w:rsid w:val="000A0E97"/>
    <w:rsid w:val="000A2B18"/>
    <w:rsid w:val="000A4F90"/>
    <w:rsid w:val="000A6E57"/>
    <w:rsid w:val="000B0047"/>
    <w:rsid w:val="000B0A71"/>
    <w:rsid w:val="000B1126"/>
    <w:rsid w:val="000B4C41"/>
    <w:rsid w:val="000B76E9"/>
    <w:rsid w:val="000C06A2"/>
    <w:rsid w:val="000C1836"/>
    <w:rsid w:val="000C2A5E"/>
    <w:rsid w:val="000C2F44"/>
    <w:rsid w:val="000C3827"/>
    <w:rsid w:val="000C38CD"/>
    <w:rsid w:val="000C5179"/>
    <w:rsid w:val="000C5C49"/>
    <w:rsid w:val="000C6A19"/>
    <w:rsid w:val="000D04FA"/>
    <w:rsid w:val="000D0C8A"/>
    <w:rsid w:val="000D0D0F"/>
    <w:rsid w:val="000D0F04"/>
    <w:rsid w:val="000D109C"/>
    <w:rsid w:val="000D5535"/>
    <w:rsid w:val="000D5951"/>
    <w:rsid w:val="000D6DF0"/>
    <w:rsid w:val="000E149F"/>
    <w:rsid w:val="000E3010"/>
    <w:rsid w:val="000E4DCD"/>
    <w:rsid w:val="000E578F"/>
    <w:rsid w:val="000E5F63"/>
    <w:rsid w:val="000F0B2C"/>
    <w:rsid w:val="000F18BE"/>
    <w:rsid w:val="000F1BDB"/>
    <w:rsid w:val="000F2779"/>
    <w:rsid w:val="000F486E"/>
    <w:rsid w:val="000F4CA3"/>
    <w:rsid w:val="000F6DBD"/>
    <w:rsid w:val="000F7429"/>
    <w:rsid w:val="000F780C"/>
    <w:rsid w:val="00100E7D"/>
    <w:rsid w:val="00100F32"/>
    <w:rsid w:val="00101D48"/>
    <w:rsid w:val="00103D40"/>
    <w:rsid w:val="00103D96"/>
    <w:rsid w:val="00104552"/>
    <w:rsid w:val="0010456C"/>
    <w:rsid w:val="00104A3B"/>
    <w:rsid w:val="00107135"/>
    <w:rsid w:val="00110C12"/>
    <w:rsid w:val="00112D7A"/>
    <w:rsid w:val="00113AAA"/>
    <w:rsid w:val="00114DAB"/>
    <w:rsid w:val="001154B5"/>
    <w:rsid w:val="001167F3"/>
    <w:rsid w:val="00117432"/>
    <w:rsid w:val="00120242"/>
    <w:rsid w:val="00122B8D"/>
    <w:rsid w:val="001249D4"/>
    <w:rsid w:val="00124B50"/>
    <w:rsid w:val="001306B6"/>
    <w:rsid w:val="001310F8"/>
    <w:rsid w:val="00132661"/>
    <w:rsid w:val="001351B4"/>
    <w:rsid w:val="0014067D"/>
    <w:rsid w:val="0014194F"/>
    <w:rsid w:val="00141D80"/>
    <w:rsid w:val="00142B10"/>
    <w:rsid w:val="00144CC8"/>
    <w:rsid w:val="00147646"/>
    <w:rsid w:val="0014791F"/>
    <w:rsid w:val="00147B90"/>
    <w:rsid w:val="00151946"/>
    <w:rsid w:val="00152290"/>
    <w:rsid w:val="00152E26"/>
    <w:rsid w:val="0015368E"/>
    <w:rsid w:val="00153BA9"/>
    <w:rsid w:val="001542F6"/>
    <w:rsid w:val="00155BD5"/>
    <w:rsid w:val="00157146"/>
    <w:rsid w:val="0016106D"/>
    <w:rsid w:val="0016115A"/>
    <w:rsid w:val="0016158C"/>
    <w:rsid w:val="001624E0"/>
    <w:rsid w:val="001641EF"/>
    <w:rsid w:val="00164472"/>
    <w:rsid w:val="001646E5"/>
    <w:rsid w:val="0016476C"/>
    <w:rsid w:val="00164955"/>
    <w:rsid w:val="00166234"/>
    <w:rsid w:val="00170452"/>
    <w:rsid w:val="00171817"/>
    <w:rsid w:val="00173723"/>
    <w:rsid w:val="00173A42"/>
    <w:rsid w:val="00174EE6"/>
    <w:rsid w:val="001758D1"/>
    <w:rsid w:val="001764F5"/>
    <w:rsid w:val="00176808"/>
    <w:rsid w:val="00176974"/>
    <w:rsid w:val="00180453"/>
    <w:rsid w:val="00180758"/>
    <w:rsid w:val="00181032"/>
    <w:rsid w:val="00181D47"/>
    <w:rsid w:val="00182401"/>
    <w:rsid w:val="001875E1"/>
    <w:rsid w:val="00190F8A"/>
    <w:rsid w:val="00193103"/>
    <w:rsid w:val="001934F8"/>
    <w:rsid w:val="00194DD3"/>
    <w:rsid w:val="00197415"/>
    <w:rsid w:val="00197B28"/>
    <w:rsid w:val="001A0FE3"/>
    <w:rsid w:val="001A14B0"/>
    <w:rsid w:val="001A2BA3"/>
    <w:rsid w:val="001A3DFA"/>
    <w:rsid w:val="001A47B0"/>
    <w:rsid w:val="001A54F3"/>
    <w:rsid w:val="001A61B9"/>
    <w:rsid w:val="001A62FA"/>
    <w:rsid w:val="001B11A0"/>
    <w:rsid w:val="001B131A"/>
    <w:rsid w:val="001B20CF"/>
    <w:rsid w:val="001B22F9"/>
    <w:rsid w:val="001B23FB"/>
    <w:rsid w:val="001B276D"/>
    <w:rsid w:val="001B2BE6"/>
    <w:rsid w:val="001B3099"/>
    <w:rsid w:val="001B3EA3"/>
    <w:rsid w:val="001B5776"/>
    <w:rsid w:val="001B6961"/>
    <w:rsid w:val="001B6D11"/>
    <w:rsid w:val="001B6F21"/>
    <w:rsid w:val="001B7B05"/>
    <w:rsid w:val="001C13CB"/>
    <w:rsid w:val="001C2D9E"/>
    <w:rsid w:val="001C4148"/>
    <w:rsid w:val="001C690A"/>
    <w:rsid w:val="001C749A"/>
    <w:rsid w:val="001D0A47"/>
    <w:rsid w:val="001D1BE4"/>
    <w:rsid w:val="001D2445"/>
    <w:rsid w:val="001D40FB"/>
    <w:rsid w:val="001D59C7"/>
    <w:rsid w:val="001D5AFE"/>
    <w:rsid w:val="001D78EB"/>
    <w:rsid w:val="001D7F8C"/>
    <w:rsid w:val="001E1165"/>
    <w:rsid w:val="001E149E"/>
    <w:rsid w:val="001E1C8C"/>
    <w:rsid w:val="001E2028"/>
    <w:rsid w:val="001E2F9C"/>
    <w:rsid w:val="001E6C21"/>
    <w:rsid w:val="001E7E31"/>
    <w:rsid w:val="001E7F88"/>
    <w:rsid w:val="001F0886"/>
    <w:rsid w:val="001F22E5"/>
    <w:rsid w:val="001F2404"/>
    <w:rsid w:val="001F249B"/>
    <w:rsid w:val="001F2C04"/>
    <w:rsid w:val="001F38BA"/>
    <w:rsid w:val="001F5001"/>
    <w:rsid w:val="001F5931"/>
    <w:rsid w:val="001F7854"/>
    <w:rsid w:val="001F79D9"/>
    <w:rsid w:val="0020061A"/>
    <w:rsid w:val="00200D89"/>
    <w:rsid w:val="002026F2"/>
    <w:rsid w:val="00202A1F"/>
    <w:rsid w:val="00205271"/>
    <w:rsid w:val="00205828"/>
    <w:rsid w:val="002061F9"/>
    <w:rsid w:val="00211C1A"/>
    <w:rsid w:val="00212B8F"/>
    <w:rsid w:val="00216601"/>
    <w:rsid w:val="00216F75"/>
    <w:rsid w:val="00216F8E"/>
    <w:rsid w:val="002170B4"/>
    <w:rsid w:val="00221B23"/>
    <w:rsid w:val="00221C31"/>
    <w:rsid w:val="0022242E"/>
    <w:rsid w:val="00222A1A"/>
    <w:rsid w:val="00222EE9"/>
    <w:rsid w:val="0022308D"/>
    <w:rsid w:val="002272E7"/>
    <w:rsid w:val="002309F6"/>
    <w:rsid w:val="00231684"/>
    <w:rsid w:val="002323DC"/>
    <w:rsid w:val="00237C7F"/>
    <w:rsid w:val="00240EDC"/>
    <w:rsid w:val="002417C3"/>
    <w:rsid w:val="0024187F"/>
    <w:rsid w:val="00241C24"/>
    <w:rsid w:val="00241DDF"/>
    <w:rsid w:val="00243860"/>
    <w:rsid w:val="0024583C"/>
    <w:rsid w:val="00246CE4"/>
    <w:rsid w:val="00251019"/>
    <w:rsid w:val="00251BAB"/>
    <w:rsid w:val="00252636"/>
    <w:rsid w:val="00253407"/>
    <w:rsid w:val="00254B1F"/>
    <w:rsid w:val="00254ECD"/>
    <w:rsid w:val="002553A8"/>
    <w:rsid w:val="00256DBB"/>
    <w:rsid w:val="002573E3"/>
    <w:rsid w:val="00257CEB"/>
    <w:rsid w:val="002616C2"/>
    <w:rsid w:val="002627FE"/>
    <w:rsid w:val="0026457E"/>
    <w:rsid w:val="00264CDD"/>
    <w:rsid w:val="00264F5F"/>
    <w:rsid w:val="002658BD"/>
    <w:rsid w:val="00266956"/>
    <w:rsid w:val="0027021C"/>
    <w:rsid w:val="002739E8"/>
    <w:rsid w:val="002746FA"/>
    <w:rsid w:val="0027486C"/>
    <w:rsid w:val="002762FE"/>
    <w:rsid w:val="002767F6"/>
    <w:rsid w:val="00276F99"/>
    <w:rsid w:val="00277726"/>
    <w:rsid w:val="00277895"/>
    <w:rsid w:val="00280E8E"/>
    <w:rsid w:val="002810D4"/>
    <w:rsid w:val="00284CD4"/>
    <w:rsid w:val="00284F4F"/>
    <w:rsid w:val="00286D86"/>
    <w:rsid w:val="002901AD"/>
    <w:rsid w:val="002905D1"/>
    <w:rsid w:val="002913EB"/>
    <w:rsid w:val="00292B3E"/>
    <w:rsid w:val="00293109"/>
    <w:rsid w:val="002936E1"/>
    <w:rsid w:val="00293DA5"/>
    <w:rsid w:val="00294990"/>
    <w:rsid w:val="00294DEF"/>
    <w:rsid w:val="00294E68"/>
    <w:rsid w:val="0029713C"/>
    <w:rsid w:val="00297B1B"/>
    <w:rsid w:val="002A238F"/>
    <w:rsid w:val="002A3627"/>
    <w:rsid w:val="002A52C6"/>
    <w:rsid w:val="002A570A"/>
    <w:rsid w:val="002A6E6A"/>
    <w:rsid w:val="002A7A3F"/>
    <w:rsid w:val="002A7E5B"/>
    <w:rsid w:val="002B198F"/>
    <w:rsid w:val="002B2572"/>
    <w:rsid w:val="002B3F30"/>
    <w:rsid w:val="002B4E38"/>
    <w:rsid w:val="002B5FF8"/>
    <w:rsid w:val="002B6336"/>
    <w:rsid w:val="002B6750"/>
    <w:rsid w:val="002C14A9"/>
    <w:rsid w:val="002C4288"/>
    <w:rsid w:val="002C45DC"/>
    <w:rsid w:val="002D0289"/>
    <w:rsid w:val="002D1052"/>
    <w:rsid w:val="002D29A5"/>
    <w:rsid w:val="002D2AAE"/>
    <w:rsid w:val="002D2C72"/>
    <w:rsid w:val="002D4AFD"/>
    <w:rsid w:val="002D5F34"/>
    <w:rsid w:val="002D6745"/>
    <w:rsid w:val="002D7C15"/>
    <w:rsid w:val="002E28F7"/>
    <w:rsid w:val="002E31F7"/>
    <w:rsid w:val="002E38B0"/>
    <w:rsid w:val="002E6218"/>
    <w:rsid w:val="002F0513"/>
    <w:rsid w:val="002F1C5B"/>
    <w:rsid w:val="002F4409"/>
    <w:rsid w:val="002F524B"/>
    <w:rsid w:val="002F5C81"/>
    <w:rsid w:val="002F5F88"/>
    <w:rsid w:val="002F685A"/>
    <w:rsid w:val="002F6D65"/>
    <w:rsid w:val="002F70F1"/>
    <w:rsid w:val="002F7B03"/>
    <w:rsid w:val="00300711"/>
    <w:rsid w:val="0030211B"/>
    <w:rsid w:val="003030E8"/>
    <w:rsid w:val="003032EF"/>
    <w:rsid w:val="00304940"/>
    <w:rsid w:val="003064BE"/>
    <w:rsid w:val="003073A9"/>
    <w:rsid w:val="00307884"/>
    <w:rsid w:val="003115FD"/>
    <w:rsid w:val="003131BE"/>
    <w:rsid w:val="00313246"/>
    <w:rsid w:val="00317015"/>
    <w:rsid w:val="003203DD"/>
    <w:rsid w:val="00321D0B"/>
    <w:rsid w:val="00322000"/>
    <w:rsid w:val="0032226C"/>
    <w:rsid w:val="00323B4A"/>
    <w:rsid w:val="00324B82"/>
    <w:rsid w:val="0032704B"/>
    <w:rsid w:val="00327FBB"/>
    <w:rsid w:val="00330BC7"/>
    <w:rsid w:val="00331804"/>
    <w:rsid w:val="00331D8C"/>
    <w:rsid w:val="00333B70"/>
    <w:rsid w:val="00334DB1"/>
    <w:rsid w:val="00335EFB"/>
    <w:rsid w:val="0034006C"/>
    <w:rsid w:val="00341678"/>
    <w:rsid w:val="003424BF"/>
    <w:rsid w:val="003445C1"/>
    <w:rsid w:val="00344B98"/>
    <w:rsid w:val="00346CF3"/>
    <w:rsid w:val="00346F9B"/>
    <w:rsid w:val="003473CE"/>
    <w:rsid w:val="00351DE8"/>
    <w:rsid w:val="00353B29"/>
    <w:rsid w:val="0035755B"/>
    <w:rsid w:val="00357CEC"/>
    <w:rsid w:val="00360A26"/>
    <w:rsid w:val="00361265"/>
    <w:rsid w:val="00361B11"/>
    <w:rsid w:val="003640ED"/>
    <w:rsid w:val="003640F5"/>
    <w:rsid w:val="00364B36"/>
    <w:rsid w:val="00364D7A"/>
    <w:rsid w:val="003665FF"/>
    <w:rsid w:val="00366C07"/>
    <w:rsid w:val="00366D9F"/>
    <w:rsid w:val="003679B7"/>
    <w:rsid w:val="00370DC7"/>
    <w:rsid w:val="00372391"/>
    <w:rsid w:val="003732BD"/>
    <w:rsid w:val="0037489E"/>
    <w:rsid w:val="00375099"/>
    <w:rsid w:val="00377E6D"/>
    <w:rsid w:val="00377FD9"/>
    <w:rsid w:val="00380409"/>
    <w:rsid w:val="00380530"/>
    <w:rsid w:val="00380AE6"/>
    <w:rsid w:val="00381FAF"/>
    <w:rsid w:val="0038413F"/>
    <w:rsid w:val="003856EB"/>
    <w:rsid w:val="00385CD9"/>
    <w:rsid w:val="003878CB"/>
    <w:rsid w:val="0039230C"/>
    <w:rsid w:val="00393216"/>
    <w:rsid w:val="00393C80"/>
    <w:rsid w:val="00395BC4"/>
    <w:rsid w:val="0039748C"/>
    <w:rsid w:val="003A076F"/>
    <w:rsid w:val="003A0B5E"/>
    <w:rsid w:val="003A2AB6"/>
    <w:rsid w:val="003A2F84"/>
    <w:rsid w:val="003A3274"/>
    <w:rsid w:val="003A46A4"/>
    <w:rsid w:val="003A63CE"/>
    <w:rsid w:val="003A71A1"/>
    <w:rsid w:val="003A7921"/>
    <w:rsid w:val="003B0FDF"/>
    <w:rsid w:val="003B23D9"/>
    <w:rsid w:val="003B2754"/>
    <w:rsid w:val="003B3312"/>
    <w:rsid w:val="003B332B"/>
    <w:rsid w:val="003B56DC"/>
    <w:rsid w:val="003B6FC0"/>
    <w:rsid w:val="003B7275"/>
    <w:rsid w:val="003B73A9"/>
    <w:rsid w:val="003C0238"/>
    <w:rsid w:val="003C12C3"/>
    <w:rsid w:val="003C1E54"/>
    <w:rsid w:val="003C22D7"/>
    <w:rsid w:val="003C28EC"/>
    <w:rsid w:val="003C32EF"/>
    <w:rsid w:val="003C33FF"/>
    <w:rsid w:val="003C355E"/>
    <w:rsid w:val="003C3A8E"/>
    <w:rsid w:val="003C4C53"/>
    <w:rsid w:val="003C524C"/>
    <w:rsid w:val="003C6D8F"/>
    <w:rsid w:val="003C71A8"/>
    <w:rsid w:val="003D0D6B"/>
    <w:rsid w:val="003D317C"/>
    <w:rsid w:val="003D5D60"/>
    <w:rsid w:val="003D6CDA"/>
    <w:rsid w:val="003E1B3D"/>
    <w:rsid w:val="003E1C34"/>
    <w:rsid w:val="003E3505"/>
    <w:rsid w:val="003E52F8"/>
    <w:rsid w:val="003E5341"/>
    <w:rsid w:val="003E665F"/>
    <w:rsid w:val="003E7153"/>
    <w:rsid w:val="003E71F0"/>
    <w:rsid w:val="003E71F9"/>
    <w:rsid w:val="003F3088"/>
    <w:rsid w:val="003F320B"/>
    <w:rsid w:val="003F4562"/>
    <w:rsid w:val="003F6938"/>
    <w:rsid w:val="00400A08"/>
    <w:rsid w:val="00401B6C"/>
    <w:rsid w:val="0040248B"/>
    <w:rsid w:val="004026C7"/>
    <w:rsid w:val="00404694"/>
    <w:rsid w:val="00404799"/>
    <w:rsid w:val="00406D04"/>
    <w:rsid w:val="00412F4E"/>
    <w:rsid w:val="00413EA7"/>
    <w:rsid w:val="00414D1F"/>
    <w:rsid w:val="00415308"/>
    <w:rsid w:val="00415445"/>
    <w:rsid w:val="004167C8"/>
    <w:rsid w:val="00421743"/>
    <w:rsid w:val="00423371"/>
    <w:rsid w:val="0042450D"/>
    <w:rsid w:val="00425BF5"/>
    <w:rsid w:val="00425F48"/>
    <w:rsid w:val="00426EC1"/>
    <w:rsid w:val="0042703D"/>
    <w:rsid w:val="00430BA3"/>
    <w:rsid w:val="00431582"/>
    <w:rsid w:val="00432F05"/>
    <w:rsid w:val="004330DD"/>
    <w:rsid w:val="004335E9"/>
    <w:rsid w:val="00433991"/>
    <w:rsid w:val="004344F3"/>
    <w:rsid w:val="0043601B"/>
    <w:rsid w:val="004373A6"/>
    <w:rsid w:val="00437BB6"/>
    <w:rsid w:val="00437BCF"/>
    <w:rsid w:val="004407FF"/>
    <w:rsid w:val="004417CA"/>
    <w:rsid w:val="00444ED5"/>
    <w:rsid w:val="00446A0B"/>
    <w:rsid w:val="00447295"/>
    <w:rsid w:val="00447B82"/>
    <w:rsid w:val="00451522"/>
    <w:rsid w:val="00451AC9"/>
    <w:rsid w:val="004530D9"/>
    <w:rsid w:val="00453333"/>
    <w:rsid w:val="004538D9"/>
    <w:rsid w:val="00453C5E"/>
    <w:rsid w:val="00454152"/>
    <w:rsid w:val="004541ED"/>
    <w:rsid w:val="00454F03"/>
    <w:rsid w:val="00460FFB"/>
    <w:rsid w:val="004620E2"/>
    <w:rsid w:val="0046288E"/>
    <w:rsid w:val="0046623F"/>
    <w:rsid w:val="00467F01"/>
    <w:rsid w:val="00472ED3"/>
    <w:rsid w:val="00473959"/>
    <w:rsid w:val="004756FE"/>
    <w:rsid w:val="00475FA6"/>
    <w:rsid w:val="00476202"/>
    <w:rsid w:val="00480878"/>
    <w:rsid w:val="00480D25"/>
    <w:rsid w:val="00482635"/>
    <w:rsid w:val="0048359E"/>
    <w:rsid w:val="00483638"/>
    <w:rsid w:val="00484B2B"/>
    <w:rsid w:val="004852B7"/>
    <w:rsid w:val="00485B92"/>
    <w:rsid w:val="00487D5A"/>
    <w:rsid w:val="00491197"/>
    <w:rsid w:val="00491CF3"/>
    <w:rsid w:val="004935BC"/>
    <w:rsid w:val="00494361"/>
    <w:rsid w:val="004956BE"/>
    <w:rsid w:val="00495C19"/>
    <w:rsid w:val="004961F8"/>
    <w:rsid w:val="00497A0B"/>
    <w:rsid w:val="004A060D"/>
    <w:rsid w:val="004A0655"/>
    <w:rsid w:val="004A1896"/>
    <w:rsid w:val="004A1A44"/>
    <w:rsid w:val="004A35A8"/>
    <w:rsid w:val="004A4AAD"/>
    <w:rsid w:val="004A723D"/>
    <w:rsid w:val="004A7531"/>
    <w:rsid w:val="004A7837"/>
    <w:rsid w:val="004B047E"/>
    <w:rsid w:val="004B1208"/>
    <w:rsid w:val="004B36F7"/>
    <w:rsid w:val="004B38DF"/>
    <w:rsid w:val="004B44BF"/>
    <w:rsid w:val="004B4BD2"/>
    <w:rsid w:val="004B59F7"/>
    <w:rsid w:val="004B5B77"/>
    <w:rsid w:val="004B5BED"/>
    <w:rsid w:val="004B5D2A"/>
    <w:rsid w:val="004B601A"/>
    <w:rsid w:val="004B675A"/>
    <w:rsid w:val="004C1730"/>
    <w:rsid w:val="004C2328"/>
    <w:rsid w:val="004C2A9C"/>
    <w:rsid w:val="004C56D3"/>
    <w:rsid w:val="004C7099"/>
    <w:rsid w:val="004D0E87"/>
    <w:rsid w:val="004D1686"/>
    <w:rsid w:val="004D2897"/>
    <w:rsid w:val="004D323D"/>
    <w:rsid w:val="004D3F3D"/>
    <w:rsid w:val="004D5511"/>
    <w:rsid w:val="004D63B7"/>
    <w:rsid w:val="004D674B"/>
    <w:rsid w:val="004D68BC"/>
    <w:rsid w:val="004D7CA6"/>
    <w:rsid w:val="004E0156"/>
    <w:rsid w:val="004E20C2"/>
    <w:rsid w:val="004E2A19"/>
    <w:rsid w:val="004E37D6"/>
    <w:rsid w:val="004E44F5"/>
    <w:rsid w:val="004E498F"/>
    <w:rsid w:val="004E5BDF"/>
    <w:rsid w:val="004F0AFD"/>
    <w:rsid w:val="004F21B9"/>
    <w:rsid w:val="004F249F"/>
    <w:rsid w:val="004F3047"/>
    <w:rsid w:val="004F377F"/>
    <w:rsid w:val="004F4B80"/>
    <w:rsid w:val="004F4CF4"/>
    <w:rsid w:val="004F6F2D"/>
    <w:rsid w:val="004F7E5C"/>
    <w:rsid w:val="00501849"/>
    <w:rsid w:val="00501CDD"/>
    <w:rsid w:val="005026A9"/>
    <w:rsid w:val="0050288F"/>
    <w:rsid w:val="005039EB"/>
    <w:rsid w:val="00506003"/>
    <w:rsid w:val="005060CE"/>
    <w:rsid w:val="0051254B"/>
    <w:rsid w:val="0051290A"/>
    <w:rsid w:val="00513180"/>
    <w:rsid w:val="00514AE4"/>
    <w:rsid w:val="00517EAE"/>
    <w:rsid w:val="005205B6"/>
    <w:rsid w:val="005205FA"/>
    <w:rsid w:val="00520C65"/>
    <w:rsid w:val="00521C9D"/>
    <w:rsid w:val="00521F39"/>
    <w:rsid w:val="005222F1"/>
    <w:rsid w:val="005225FA"/>
    <w:rsid w:val="00523CF2"/>
    <w:rsid w:val="005261E1"/>
    <w:rsid w:val="005263E5"/>
    <w:rsid w:val="00527294"/>
    <w:rsid w:val="005279A8"/>
    <w:rsid w:val="00527E19"/>
    <w:rsid w:val="00530191"/>
    <w:rsid w:val="0053065C"/>
    <w:rsid w:val="00530E51"/>
    <w:rsid w:val="00531E0E"/>
    <w:rsid w:val="005323A8"/>
    <w:rsid w:val="00533543"/>
    <w:rsid w:val="00537353"/>
    <w:rsid w:val="005400BD"/>
    <w:rsid w:val="005416A3"/>
    <w:rsid w:val="005417B7"/>
    <w:rsid w:val="005443C6"/>
    <w:rsid w:val="00544A1A"/>
    <w:rsid w:val="00546F48"/>
    <w:rsid w:val="00550893"/>
    <w:rsid w:val="00551092"/>
    <w:rsid w:val="00552E45"/>
    <w:rsid w:val="00553208"/>
    <w:rsid w:val="00555FC9"/>
    <w:rsid w:val="005604B8"/>
    <w:rsid w:val="00560A35"/>
    <w:rsid w:val="00561054"/>
    <w:rsid w:val="00561182"/>
    <w:rsid w:val="005630AB"/>
    <w:rsid w:val="00563C92"/>
    <w:rsid w:val="00565FB3"/>
    <w:rsid w:val="00566F46"/>
    <w:rsid w:val="0056703E"/>
    <w:rsid w:val="00570E2F"/>
    <w:rsid w:val="005716AE"/>
    <w:rsid w:val="00572C54"/>
    <w:rsid w:val="00572DA4"/>
    <w:rsid w:val="005730BD"/>
    <w:rsid w:val="0057329A"/>
    <w:rsid w:val="00573F59"/>
    <w:rsid w:val="0057519B"/>
    <w:rsid w:val="005766F7"/>
    <w:rsid w:val="00576BAA"/>
    <w:rsid w:val="00580F06"/>
    <w:rsid w:val="00581600"/>
    <w:rsid w:val="00581B58"/>
    <w:rsid w:val="00584276"/>
    <w:rsid w:val="005849F7"/>
    <w:rsid w:val="00584F60"/>
    <w:rsid w:val="00585E67"/>
    <w:rsid w:val="00585ED3"/>
    <w:rsid w:val="005862B8"/>
    <w:rsid w:val="00591EDD"/>
    <w:rsid w:val="00592657"/>
    <w:rsid w:val="00593074"/>
    <w:rsid w:val="0059308E"/>
    <w:rsid w:val="005935D9"/>
    <w:rsid w:val="005939BD"/>
    <w:rsid w:val="0059417B"/>
    <w:rsid w:val="00595055"/>
    <w:rsid w:val="00595EC4"/>
    <w:rsid w:val="005962EF"/>
    <w:rsid w:val="00596B39"/>
    <w:rsid w:val="00596D87"/>
    <w:rsid w:val="005A14F2"/>
    <w:rsid w:val="005A150C"/>
    <w:rsid w:val="005A2C1D"/>
    <w:rsid w:val="005A4E64"/>
    <w:rsid w:val="005A4FC8"/>
    <w:rsid w:val="005A6427"/>
    <w:rsid w:val="005A6D32"/>
    <w:rsid w:val="005A7740"/>
    <w:rsid w:val="005B0EEC"/>
    <w:rsid w:val="005B1D40"/>
    <w:rsid w:val="005B1DBD"/>
    <w:rsid w:val="005B2155"/>
    <w:rsid w:val="005B232B"/>
    <w:rsid w:val="005B330C"/>
    <w:rsid w:val="005B513F"/>
    <w:rsid w:val="005B63E1"/>
    <w:rsid w:val="005C0163"/>
    <w:rsid w:val="005C0678"/>
    <w:rsid w:val="005C21DB"/>
    <w:rsid w:val="005C2F28"/>
    <w:rsid w:val="005C3519"/>
    <w:rsid w:val="005C5008"/>
    <w:rsid w:val="005C50AA"/>
    <w:rsid w:val="005C552D"/>
    <w:rsid w:val="005C69F8"/>
    <w:rsid w:val="005C6A8B"/>
    <w:rsid w:val="005C7407"/>
    <w:rsid w:val="005D0D44"/>
    <w:rsid w:val="005D2941"/>
    <w:rsid w:val="005D30E6"/>
    <w:rsid w:val="005D47B7"/>
    <w:rsid w:val="005D47EA"/>
    <w:rsid w:val="005D517B"/>
    <w:rsid w:val="005D62BA"/>
    <w:rsid w:val="005D6A37"/>
    <w:rsid w:val="005D6BB0"/>
    <w:rsid w:val="005E0495"/>
    <w:rsid w:val="005E13CC"/>
    <w:rsid w:val="005E1548"/>
    <w:rsid w:val="005E2872"/>
    <w:rsid w:val="005E3305"/>
    <w:rsid w:val="005E33EC"/>
    <w:rsid w:val="005E38C4"/>
    <w:rsid w:val="005E5B25"/>
    <w:rsid w:val="005E5BAA"/>
    <w:rsid w:val="005E6CCB"/>
    <w:rsid w:val="005E6FD3"/>
    <w:rsid w:val="005E7764"/>
    <w:rsid w:val="005E7EEC"/>
    <w:rsid w:val="005F1801"/>
    <w:rsid w:val="005F2299"/>
    <w:rsid w:val="005F325B"/>
    <w:rsid w:val="005F4527"/>
    <w:rsid w:val="005F5255"/>
    <w:rsid w:val="006015D3"/>
    <w:rsid w:val="00602291"/>
    <w:rsid w:val="00603976"/>
    <w:rsid w:val="006046F6"/>
    <w:rsid w:val="0060538A"/>
    <w:rsid w:val="006075D7"/>
    <w:rsid w:val="00611271"/>
    <w:rsid w:val="0061504E"/>
    <w:rsid w:val="0062076D"/>
    <w:rsid w:val="0062129F"/>
    <w:rsid w:val="006217CD"/>
    <w:rsid w:val="00622115"/>
    <w:rsid w:val="00624DC0"/>
    <w:rsid w:val="0062550C"/>
    <w:rsid w:val="00625F02"/>
    <w:rsid w:val="006307FA"/>
    <w:rsid w:val="00630B69"/>
    <w:rsid w:val="00632596"/>
    <w:rsid w:val="00632E8C"/>
    <w:rsid w:val="00634848"/>
    <w:rsid w:val="00634DE5"/>
    <w:rsid w:val="0064126C"/>
    <w:rsid w:val="00643345"/>
    <w:rsid w:val="00644262"/>
    <w:rsid w:val="00650910"/>
    <w:rsid w:val="006514BB"/>
    <w:rsid w:val="006520D2"/>
    <w:rsid w:val="0065384E"/>
    <w:rsid w:val="00654FF7"/>
    <w:rsid w:val="0065514D"/>
    <w:rsid w:val="0065551E"/>
    <w:rsid w:val="00660FF6"/>
    <w:rsid w:val="0066135D"/>
    <w:rsid w:val="00661453"/>
    <w:rsid w:val="00661A09"/>
    <w:rsid w:val="00661E3C"/>
    <w:rsid w:val="00664002"/>
    <w:rsid w:val="00666081"/>
    <w:rsid w:val="006668FC"/>
    <w:rsid w:val="0067024B"/>
    <w:rsid w:val="00670C22"/>
    <w:rsid w:val="00670D8C"/>
    <w:rsid w:val="00672228"/>
    <w:rsid w:val="00672261"/>
    <w:rsid w:val="00672756"/>
    <w:rsid w:val="00672A1A"/>
    <w:rsid w:val="00672C19"/>
    <w:rsid w:val="00672DD2"/>
    <w:rsid w:val="00672F14"/>
    <w:rsid w:val="006750AD"/>
    <w:rsid w:val="00680679"/>
    <w:rsid w:val="00681BB8"/>
    <w:rsid w:val="00681E93"/>
    <w:rsid w:val="006826F0"/>
    <w:rsid w:val="00683BC1"/>
    <w:rsid w:val="00683CFB"/>
    <w:rsid w:val="006845F4"/>
    <w:rsid w:val="00690078"/>
    <w:rsid w:val="00690E0E"/>
    <w:rsid w:val="006913CA"/>
    <w:rsid w:val="006917C2"/>
    <w:rsid w:val="00692246"/>
    <w:rsid w:val="006926F5"/>
    <w:rsid w:val="00692C18"/>
    <w:rsid w:val="006935AB"/>
    <w:rsid w:val="006939D4"/>
    <w:rsid w:val="00693E34"/>
    <w:rsid w:val="0069451D"/>
    <w:rsid w:val="00697A0B"/>
    <w:rsid w:val="006A01E8"/>
    <w:rsid w:val="006A06B1"/>
    <w:rsid w:val="006A0C25"/>
    <w:rsid w:val="006A1CDF"/>
    <w:rsid w:val="006A2677"/>
    <w:rsid w:val="006A3898"/>
    <w:rsid w:val="006A3FE4"/>
    <w:rsid w:val="006A504E"/>
    <w:rsid w:val="006A610C"/>
    <w:rsid w:val="006B0DCE"/>
    <w:rsid w:val="006B17B1"/>
    <w:rsid w:val="006B224E"/>
    <w:rsid w:val="006B2A91"/>
    <w:rsid w:val="006B5C0B"/>
    <w:rsid w:val="006C0224"/>
    <w:rsid w:val="006C04EC"/>
    <w:rsid w:val="006C163D"/>
    <w:rsid w:val="006C3765"/>
    <w:rsid w:val="006C4577"/>
    <w:rsid w:val="006C5612"/>
    <w:rsid w:val="006C6DEB"/>
    <w:rsid w:val="006C6FE3"/>
    <w:rsid w:val="006D072B"/>
    <w:rsid w:val="006D172F"/>
    <w:rsid w:val="006D201E"/>
    <w:rsid w:val="006D2AF1"/>
    <w:rsid w:val="006D44EC"/>
    <w:rsid w:val="006D458B"/>
    <w:rsid w:val="006D4E50"/>
    <w:rsid w:val="006D5EAE"/>
    <w:rsid w:val="006D5FBB"/>
    <w:rsid w:val="006E0991"/>
    <w:rsid w:val="006E0EFB"/>
    <w:rsid w:val="006E1673"/>
    <w:rsid w:val="006E229F"/>
    <w:rsid w:val="006E233C"/>
    <w:rsid w:val="006E3A37"/>
    <w:rsid w:val="006E5D02"/>
    <w:rsid w:val="006E745A"/>
    <w:rsid w:val="006F0312"/>
    <w:rsid w:val="006F08AE"/>
    <w:rsid w:val="006F11A9"/>
    <w:rsid w:val="006F2D42"/>
    <w:rsid w:val="006F4686"/>
    <w:rsid w:val="006F6E1A"/>
    <w:rsid w:val="006F747E"/>
    <w:rsid w:val="006F76B0"/>
    <w:rsid w:val="006F77B7"/>
    <w:rsid w:val="006F7ACE"/>
    <w:rsid w:val="00700DB5"/>
    <w:rsid w:val="00701603"/>
    <w:rsid w:val="00701FB2"/>
    <w:rsid w:val="00702399"/>
    <w:rsid w:val="0070283D"/>
    <w:rsid w:val="007047CE"/>
    <w:rsid w:val="00705144"/>
    <w:rsid w:val="0070735C"/>
    <w:rsid w:val="00710778"/>
    <w:rsid w:val="00710849"/>
    <w:rsid w:val="007126BD"/>
    <w:rsid w:val="00714137"/>
    <w:rsid w:val="007159D1"/>
    <w:rsid w:val="00716B0B"/>
    <w:rsid w:val="007176E0"/>
    <w:rsid w:val="007209AC"/>
    <w:rsid w:val="00722136"/>
    <w:rsid w:val="0072245C"/>
    <w:rsid w:val="00723038"/>
    <w:rsid w:val="007243D1"/>
    <w:rsid w:val="00724952"/>
    <w:rsid w:val="00724D1B"/>
    <w:rsid w:val="007252A5"/>
    <w:rsid w:val="00725CD3"/>
    <w:rsid w:val="0072632C"/>
    <w:rsid w:val="00726721"/>
    <w:rsid w:val="00730A8E"/>
    <w:rsid w:val="00731E1E"/>
    <w:rsid w:val="00731F92"/>
    <w:rsid w:val="007322C4"/>
    <w:rsid w:val="00732817"/>
    <w:rsid w:val="007329DE"/>
    <w:rsid w:val="007349F1"/>
    <w:rsid w:val="00734AFF"/>
    <w:rsid w:val="0073594D"/>
    <w:rsid w:val="007363E4"/>
    <w:rsid w:val="00736AEB"/>
    <w:rsid w:val="00737789"/>
    <w:rsid w:val="007402C4"/>
    <w:rsid w:val="007421EF"/>
    <w:rsid w:val="00743E18"/>
    <w:rsid w:val="00744883"/>
    <w:rsid w:val="007448D9"/>
    <w:rsid w:val="00744EED"/>
    <w:rsid w:val="007465B9"/>
    <w:rsid w:val="00747B32"/>
    <w:rsid w:val="00751253"/>
    <w:rsid w:val="00751EA6"/>
    <w:rsid w:val="007556FF"/>
    <w:rsid w:val="00755EBE"/>
    <w:rsid w:val="0076344F"/>
    <w:rsid w:val="00764E5E"/>
    <w:rsid w:val="007657E4"/>
    <w:rsid w:val="007658D5"/>
    <w:rsid w:val="00765A48"/>
    <w:rsid w:val="007718B2"/>
    <w:rsid w:val="00773CEA"/>
    <w:rsid w:val="0077476F"/>
    <w:rsid w:val="00775880"/>
    <w:rsid w:val="00775CA4"/>
    <w:rsid w:val="00776702"/>
    <w:rsid w:val="00780E19"/>
    <w:rsid w:val="0078397F"/>
    <w:rsid w:val="00784E63"/>
    <w:rsid w:val="00785022"/>
    <w:rsid w:val="007852FB"/>
    <w:rsid w:val="00785B5D"/>
    <w:rsid w:val="00790766"/>
    <w:rsid w:val="0079140C"/>
    <w:rsid w:val="00791A7D"/>
    <w:rsid w:val="007923A9"/>
    <w:rsid w:val="0079266C"/>
    <w:rsid w:val="0079311B"/>
    <w:rsid w:val="0079472B"/>
    <w:rsid w:val="00794D75"/>
    <w:rsid w:val="007A09AF"/>
    <w:rsid w:val="007A0F44"/>
    <w:rsid w:val="007A2CEA"/>
    <w:rsid w:val="007A4638"/>
    <w:rsid w:val="007A537B"/>
    <w:rsid w:val="007A6624"/>
    <w:rsid w:val="007A6F48"/>
    <w:rsid w:val="007B0823"/>
    <w:rsid w:val="007B258A"/>
    <w:rsid w:val="007B3B24"/>
    <w:rsid w:val="007B49E4"/>
    <w:rsid w:val="007B5260"/>
    <w:rsid w:val="007B5840"/>
    <w:rsid w:val="007C1931"/>
    <w:rsid w:val="007C1AB3"/>
    <w:rsid w:val="007C5D41"/>
    <w:rsid w:val="007C7CC2"/>
    <w:rsid w:val="007C7D56"/>
    <w:rsid w:val="007D121B"/>
    <w:rsid w:val="007D162B"/>
    <w:rsid w:val="007D1A3D"/>
    <w:rsid w:val="007D1E52"/>
    <w:rsid w:val="007D32C7"/>
    <w:rsid w:val="007D3369"/>
    <w:rsid w:val="007D4EEB"/>
    <w:rsid w:val="007D734C"/>
    <w:rsid w:val="007E0083"/>
    <w:rsid w:val="007E0283"/>
    <w:rsid w:val="007E1419"/>
    <w:rsid w:val="007E1A6F"/>
    <w:rsid w:val="007E22E1"/>
    <w:rsid w:val="007E29E9"/>
    <w:rsid w:val="007E36B6"/>
    <w:rsid w:val="007E675B"/>
    <w:rsid w:val="007E68F3"/>
    <w:rsid w:val="007E72E1"/>
    <w:rsid w:val="007E7C2D"/>
    <w:rsid w:val="007E7E23"/>
    <w:rsid w:val="007F0083"/>
    <w:rsid w:val="007F0C62"/>
    <w:rsid w:val="007F1263"/>
    <w:rsid w:val="007F314B"/>
    <w:rsid w:val="007F343E"/>
    <w:rsid w:val="0080071B"/>
    <w:rsid w:val="00800762"/>
    <w:rsid w:val="00801081"/>
    <w:rsid w:val="00801651"/>
    <w:rsid w:val="00801B2E"/>
    <w:rsid w:val="00802898"/>
    <w:rsid w:val="008032D7"/>
    <w:rsid w:val="00803D2E"/>
    <w:rsid w:val="00803EA1"/>
    <w:rsid w:val="00804881"/>
    <w:rsid w:val="00810435"/>
    <w:rsid w:val="008119BA"/>
    <w:rsid w:val="0081202A"/>
    <w:rsid w:val="00812201"/>
    <w:rsid w:val="00812A6F"/>
    <w:rsid w:val="00812AE5"/>
    <w:rsid w:val="0081346E"/>
    <w:rsid w:val="00813589"/>
    <w:rsid w:val="0081547A"/>
    <w:rsid w:val="00815EAC"/>
    <w:rsid w:val="00816569"/>
    <w:rsid w:val="008171C2"/>
    <w:rsid w:val="00820EEF"/>
    <w:rsid w:val="008214A6"/>
    <w:rsid w:val="00821D45"/>
    <w:rsid w:val="008243C0"/>
    <w:rsid w:val="008261E2"/>
    <w:rsid w:val="00826825"/>
    <w:rsid w:val="008301E8"/>
    <w:rsid w:val="0083074D"/>
    <w:rsid w:val="00830794"/>
    <w:rsid w:val="00830999"/>
    <w:rsid w:val="0083202E"/>
    <w:rsid w:val="00832683"/>
    <w:rsid w:val="00832C1B"/>
    <w:rsid w:val="008347B5"/>
    <w:rsid w:val="00837DAD"/>
    <w:rsid w:val="008403D2"/>
    <w:rsid w:val="00842EBB"/>
    <w:rsid w:val="00843092"/>
    <w:rsid w:val="008434B5"/>
    <w:rsid w:val="0084363F"/>
    <w:rsid w:val="0084375E"/>
    <w:rsid w:val="008466B9"/>
    <w:rsid w:val="00847072"/>
    <w:rsid w:val="0084795E"/>
    <w:rsid w:val="00851341"/>
    <w:rsid w:val="00851FAA"/>
    <w:rsid w:val="00854263"/>
    <w:rsid w:val="0085631F"/>
    <w:rsid w:val="00856DBA"/>
    <w:rsid w:val="00857FA2"/>
    <w:rsid w:val="008604C3"/>
    <w:rsid w:val="00864F32"/>
    <w:rsid w:val="008650E7"/>
    <w:rsid w:val="0086599E"/>
    <w:rsid w:val="008664E6"/>
    <w:rsid w:val="00867499"/>
    <w:rsid w:val="0087016C"/>
    <w:rsid w:val="00870D4A"/>
    <w:rsid w:val="00871D3C"/>
    <w:rsid w:val="008750A4"/>
    <w:rsid w:val="00875A76"/>
    <w:rsid w:val="0087657C"/>
    <w:rsid w:val="00876CDF"/>
    <w:rsid w:val="008771C1"/>
    <w:rsid w:val="00877E63"/>
    <w:rsid w:val="00877F76"/>
    <w:rsid w:val="0088072D"/>
    <w:rsid w:val="008813C9"/>
    <w:rsid w:val="00881639"/>
    <w:rsid w:val="008817E2"/>
    <w:rsid w:val="008819E5"/>
    <w:rsid w:val="00881E05"/>
    <w:rsid w:val="00885B5A"/>
    <w:rsid w:val="00886E14"/>
    <w:rsid w:val="0088743A"/>
    <w:rsid w:val="008930BC"/>
    <w:rsid w:val="00893EEF"/>
    <w:rsid w:val="00897B66"/>
    <w:rsid w:val="008A0782"/>
    <w:rsid w:val="008A21DB"/>
    <w:rsid w:val="008A4491"/>
    <w:rsid w:val="008A4EB6"/>
    <w:rsid w:val="008A59B2"/>
    <w:rsid w:val="008A5FBF"/>
    <w:rsid w:val="008A6193"/>
    <w:rsid w:val="008A7DFF"/>
    <w:rsid w:val="008B01C3"/>
    <w:rsid w:val="008B18AA"/>
    <w:rsid w:val="008B1F4B"/>
    <w:rsid w:val="008B3099"/>
    <w:rsid w:val="008B327E"/>
    <w:rsid w:val="008B3D27"/>
    <w:rsid w:val="008B3ECB"/>
    <w:rsid w:val="008B3F17"/>
    <w:rsid w:val="008B7141"/>
    <w:rsid w:val="008C01A9"/>
    <w:rsid w:val="008C0416"/>
    <w:rsid w:val="008C09B5"/>
    <w:rsid w:val="008C12C6"/>
    <w:rsid w:val="008C2542"/>
    <w:rsid w:val="008C2973"/>
    <w:rsid w:val="008C303A"/>
    <w:rsid w:val="008C3259"/>
    <w:rsid w:val="008C35BB"/>
    <w:rsid w:val="008C4ADD"/>
    <w:rsid w:val="008C4F13"/>
    <w:rsid w:val="008C54D0"/>
    <w:rsid w:val="008C5ABA"/>
    <w:rsid w:val="008C643F"/>
    <w:rsid w:val="008D0197"/>
    <w:rsid w:val="008D3E27"/>
    <w:rsid w:val="008D4DB3"/>
    <w:rsid w:val="008D7B9C"/>
    <w:rsid w:val="008E0FA9"/>
    <w:rsid w:val="008E1732"/>
    <w:rsid w:val="008E4AB5"/>
    <w:rsid w:val="008E60E8"/>
    <w:rsid w:val="008E64BE"/>
    <w:rsid w:val="008E6B07"/>
    <w:rsid w:val="008E7AA4"/>
    <w:rsid w:val="008F0078"/>
    <w:rsid w:val="008F2EDE"/>
    <w:rsid w:val="008F3553"/>
    <w:rsid w:val="008F4927"/>
    <w:rsid w:val="008F645C"/>
    <w:rsid w:val="008F6AEC"/>
    <w:rsid w:val="008F7F86"/>
    <w:rsid w:val="00900C99"/>
    <w:rsid w:val="00901D74"/>
    <w:rsid w:val="00902538"/>
    <w:rsid w:val="009035A9"/>
    <w:rsid w:val="00905601"/>
    <w:rsid w:val="009064F7"/>
    <w:rsid w:val="009067DD"/>
    <w:rsid w:val="00913A36"/>
    <w:rsid w:val="00915B34"/>
    <w:rsid w:val="00915BDD"/>
    <w:rsid w:val="00917B11"/>
    <w:rsid w:val="0092132C"/>
    <w:rsid w:val="00921DA9"/>
    <w:rsid w:val="00921F54"/>
    <w:rsid w:val="00923126"/>
    <w:rsid w:val="00925039"/>
    <w:rsid w:val="0092643F"/>
    <w:rsid w:val="00926827"/>
    <w:rsid w:val="0092747B"/>
    <w:rsid w:val="0093074A"/>
    <w:rsid w:val="00930EC5"/>
    <w:rsid w:val="00932AC5"/>
    <w:rsid w:val="00932E1D"/>
    <w:rsid w:val="0093465F"/>
    <w:rsid w:val="009351F3"/>
    <w:rsid w:val="00935F74"/>
    <w:rsid w:val="00937206"/>
    <w:rsid w:val="00940BDB"/>
    <w:rsid w:val="00941BEF"/>
    <w:rsid w:val="00952A17"/>
    <w:rsid w:val="009552E7"/>
    <w:rsid w:val="00955B08"/>
    <w:rsid w:val="009579DF"/>
    <w:rsid w:val="00960BBF"/>
    <w:rsid w:val="00961E4A"/>
    <w:rsid w:val="00961F17"/>
    <w:rsid w:val="009649A7"/>
    <w:rsid w:val="00964F98"/>
    <w:rsid w:val="00964FEE"/>
    <w:rsid w:val="009677FA"/>
    <w:rsid w:val="00967DF1"/>
    <w:rsid w:val="00970CDB"/>
    <w:rsid w:val="00970E40"/>
    <w:rsid w:val="00972AF2"/>
    <w:rsid w:val="00972C29"/>
    <w:rsid w:val="009747F7"/>
    <w:rsid w:val="0097699C"/>
    <w:rsid w:val="00982D2C"/>
    <w:rsid w:val="00984174"/>
    <w:rsid w:val="009844E8"/>
    <w:rsid w:val="009856C8"/>
    <w:rsid w:val="00985F53"/>
    <w:rsid w:val="0098696E"/>
    <w:rsid w:val="00986E8D"/>
    <w:rsid w:val="0098711C"/>
    <w:rsid w:val="00987443"/>
    <w:rsid w:val="00987B8B"/>
    <w:rsid w:val="00991537"/>
    <w:rsid w:val="00991D0D"/>
    <w:rsid w:val="00992788"/>
    <w:rsid w:val="0099430C"/>
    <w:rsid w:val="009946E3"/>
    <w:rsid w:val="0099651F"/>
    <w:rsid w:val="00996888"/>
    <w:rsid w:val="009A023F"/>
    <w:rsid w:val="009A081F"/>
    <w:rsid w:val="009A3834"/>
    <w:rsid w:val="009A53B2"/>
    <w:rsid w:val="009A5E06"/>
    <w:rsid w:val="009A6AD7"/>
    <w:rsid w:val="009B0023"/>
    <w:rsid w:val="009B02FB"/>
    <w:rsid w:val="009B04BE"/>
    <w:rsid w:val="009B0F65"/>
    <w:rsid w:val="009B19BD"/>
    <w:rsid w:val="009B3179"/>
    <w:rsid w:val="009B3AB7"/>
    <w:rsid w:val="009B3B0C"/>
    <w:rsid w:val="009B4318"/>
    <w:rsid w:val="009B7C34"/>
    <w:rsid w:val="009C03CD"/>
    <w:rsid w:val="009C18ED"/>
    <w:rsid w:val="009C2783"/>
    <w:rsid w:val="009C2D49"/>
    <w:rsid w:val="009C58F2"/>
    <w:rsid w:val="009C7484"/>
    <w:rsid w:val="009C75A6"/>
    <w:rsid w:val="009C79A4"/>
    <w:rsid w:val="009D1B75"/>
    <w:rsid w:val="009D1FEA"/>
    <w:rsid w:val="009D2505"/>
    <w:rsid w:val="009D258B"/>
    <w:rsid w:val="009D2787"/>
    <w:rsid w:val="009D3762"/>
    <w:rsid w:val="009D4832"/>
    <w:rsid w:val="009D537B"/>
    <w:rsid w:val="009D659D"/>
    <w:rsid w:val="009D7114"/>
    <w:rsid w:val="009D7B22"/>
    <w:rsid w:val="009D7FF3"/>
    <w:rsid w:val="009E2459"/>
    <w:rsid w:val="009E4B9E"/>
    <w:rsid w:val="009E6093"/>
    <w:rsid w:val="009E6557"/>
    <w:rsid w:val="009E65E0"/>
    <w:rsid w:val="009E7621"/>
    <w:rsid w:val="009E7FFB"/>
    <w:rsid w:val="009F3BCD"/>
    <w:rsid w:val="009F5127"/>
    <w:rsid w:val="009F5C44"/>
    <w:rsid w:val="009F5E80"/>
    <w:rsid w:val="009F5EEB"/>
    <w:rsid w:val="009F7A4D"/>
    <w:rsid w:val="00A00621"/>
    <w:rsid w:val="00A00E32"/>
    <w:rsid w:val="00A014FD"/>
    <w:rsid w:val="00A03946"/>
    <w:rsid w:val="00A061B0"/>
    <w:rsid w:val="00A068C2"/>
    <w:rsid w:val="00A1182D"/>
    <w:rsid w:val="00A12E7C"/>
    <w:rsid w:val="00A136D5"/>
    <w:rsid w:val="00A1434E"/>
    <w:rsid w:val="00A14C71"/>
    <w:rsid w:val="00A14F42"/>
    <w:rsid w:val="00A1609B"/>
    <w:rsid w:val="00A16EBA"/>
    <w:rsid w:val="00A2158B"/>
    <w:rsid w:val="00A21BB4"/>
    <w:rsid w:val="00A23294"/>
    <w:rsid w:val="00A23557"/>
    <w:rsid w:val="00A23655"/>
    <w:rsid w:val="00A25101"/>
    <w:rsid w:val="00A256C1"/>
    <w:rsid w:val="00A25912"/>
    <w:rsid w:val="00A25E3F"/>
    <w:rsid w:val="00A25EF2"/>
    <w:rsid w:val="00A26407"/>
    <w:rsid w:val="00A2754B"/>
    <w:rsid w:val="00A3002C"/>
    <w:rsid w:val="00A30059"/>
    <w:rsid w:val="00A303E4"/>
    <w:rsid w:val="00A31109"/>
    <w:rsid w:val="00A31DF4"/>
    <w:rsid w:val="00A32127"/>
    <w:rsid w:val="00A322F4"/>
    <w:rsid w:val="00A332CB"/>
    <w:rsid w:val="00A335E4"/>
    <w:rsid w:val="00A35544"/>
    <w:rsid w:val="00A36397"/>
    <w:rsid w:val="00A378EF"/>
    <w:rsid w:val="00A4091F"/>
    <w:rsid w:val="00A43F4B"/>
    <w:rsid w:val="00A450F4"/>
    <w:rsid w:val="00A503C9"/>
    <w:rsid w:val="00A50CE3"/>
    <w:rsid w:val="00A5145F"/>
    <w:rsid w:val="00A5198C"/>
    <w:rsid w:val="00A53CB1"/>
    <w:rsid w:val="00A54A3B"/>
    <w:rsid w:val="00A55101"/>
    <w:rsid w:val="00A55F3A"/>
    <w:rsid w:val="00A5609F"/>
    <w:rsid w:val="00A575BA"/>
    <w:rsid w:val="00A57D63"/>
    <w:rsid w:val="00A60DB3"/>
    <w:rsid w:val="00A6257F"/>
    <w:rsid w:val="00A62EA9"/>
    <w:rsid w:val="00A635B7"/>
    <w:rsid w:val="00A63A57"/>
    <w:rsid w:val="00A650A8"/>
    <w:rsid w:val="00A6520D"/>
    <w:rsid w:val="00A655AD"/>
    <w:rsid w:val="00A660F2"/>
    <w:rsid w:val="00A7112C"/>
    <w:rsid w:val="00A71BB3"/>
    <w:rsid w:val="00A71CE9"/>
    <w:rsid w:val="00A72BF6"/>
    <w:rsid w:val="00A72E1D"/>
    <w:rsid w:val="00A75CBB"/>
    <w:rsid w:val="00A7762D"/>
    <w:rsid w:val="00A80761"/>
    <w:rsid w:val="00A83141"/>
    <w:rsid w:val="00A852D8"/>
    <w:rsid w:val="00A85EC5"/>
    <w:rsid w:val="00A9069F"/>
    <w:rsid w:val="00A91B1C"/>
    <w:rsid w:val="00A934FE"/>
    <w:rsid w:val="00A943FE"/>
    <w:rsid w:val="00A94946"/>
    <w:rsid w:val="00A95D48"/>
    <w:rsid w:val="00A97207"/>
    <w:rsid w:val="00AA1C55"/>
    <w:rsid w:val="00AA2354"/>
    <w:rsid w:val="00AA3532"/>
    <w:rsid w:val="00AA36D6"/>
    <w:rsid w:val="00AA3EC3"/>
    <w:rsid w:val="00AA500B"/>
    <w:rsid w:val="00AA5524"/>
    <w:rsid w:val="00AA68A6"/>
    <w:rsid w:val="00AA7B92"/>
    <w:rsid w:val="00AB3B08"/>
    <w:rsid w:val="00AB4709"/>
    <w:rsid w:val="00AB5110"/>
    <w:rsid w:val="00AB5D63"/>
    <w:rsid w:val="00AB7069"/>
    <w:rsid w:val="00AC14C0"/>
    <w:rsid w:val="00AC17CC"/>
    <w:rsid w:val="00AC2301"/>
    <w:rsid w:val="00AC3AA1"/>
    <w:rsid w:val="00AC502C"/>
    <w:rsid w:val="00AC5246"/>
    <w:rsid w:val="00AC6549"/>
    <w:rsid w:val="00AC78BA"/>
    <w:rsid w:val="00AD1B14"/>
    <w:rsid w:val="00AD2C2A"/>
    <w:rsid w:val="00AD5D6E"/>
    <w:rsid w:val="00AD69F9"/>
    <w:rsid w:val="00AE083E"/>
    <w:rsid w:val="00AE0928"/>
    <w:rsid w:val="00AE0A6D"/>
    <w:rsid w:val="00AE4180"/>
    <w:rsid w:val="00AE4E5B"/>
    <w:rsid w:val="00AE5A04"/>
    <w:rsid w:val="00AE6CC6"/>
    <w:rsid w:val="00AF016C"/>
    <w:rsid w:val="00AF0902"/>
    <w:rsid w:val="00AF3945"/>
    <w:rsid w:val="00AF3A14"/>
    <w:rsid w:val="00AF3E6D"/>
    <w:rsid w:val="00AF7ECA"/>
    <w:rsid w:val="00B0147B"/>
    <w:rsid w:val="00B01D84"/>
    <w:rsid w:val="00B01DEE"/>
    <w:rsid w:val="00B02D1A"/>
    <w:rsid w:val="00B02D7A"/>
    <w:rsid w:val="00B039DD"/>
    <w:rsid w:val="00B045D2"/>
    <w:rsid w:val="00B0520C"/>
    <w:rsid w:val="00B05499"/>
    <w:rsid w:val="00B05689"/>
    <w:rsid w:val="00B05FE6"/>
    <w:rsid w:val="00B068EB"/>
    <w:rsid w:val="00B06AD6"/>
    <w:rsid w:val="00B0707A"/>
    <w:rsid w:val="00B073C2"/>
    <w:rsid w:val="00B07CC9"/>
    <w:rsid w:val="00B07CDF"/>
    <w:rsid w:val="00B07E0B"/>
    <w:rsid w:val="00B138BE"/>
    <w:rsid w:val="00B15D32"/>
    <w:rsid w:val="00B17298"/>
    <w:rsid w:val="00B1770B"/>
    <w:rsid w:val="00B17E40"/>
    <w:rsid w:val="00B21419"/>
    <w:rsid w:val="00B21B99"/>
    <w:rsid w:val="00B236E1"/>
    <w:rsid w:val="00B237A3"/>
    <w:rsid w:val="00B247D9"/>
    <w:rsid w:val="00B303D3"/>
    <w:rsid w:val="00B322E3"/>
    <w:rsid w:val="00B33646"/>
    <w:rsid w:val="00B351DF"/>
    <w:rsid w:val="00B37C60"/>
    <w:rsid w:val="00B40551"/>
    <w:rsid w:val="00B42788"/>
    <w:rsid w:val="00B46505"/>
    <w:rsid w:val="00B46528"/>
    <w:rsid w:val="00B46A05"/>
    <w:rsid w:val="00B50782"/>
    <w:rsid w:val="00B50E53"/>
    <w:rsid w:val="00B52B16"/>
    <w:rsid w:val="00B54F79"/>
    <w:rsid w:val="00B56AC2"/>
    <w:rsid w:val="00B60002"/>
    <w:rsid w:val="00B6056B"/>
    <w:rsid w:val="00B6066E"/>
    <w:rsid w:val="00B634A5"/>
    <w:rsid w:val="00B639C4"/>
    <w:rsid w:val="00B64C8A"/>
    <w:rsid w:val="00B654E0"/>
    <w:rsid w:val="00B65C21"/>
    <w:rsid w:val="00B66764"/>
    <w:rsid w:val="00B66F70"/>
    <w:rsid w:val="00B67161"/>
    <w:rsid w:val="00B67428"/>
    <w:rsid w:val="00B676E6"/>
    <w:rsid w:val="00B67905"/>
    <w:rsid w:val="00B700A7"/>
    <w:rsid w:val="00B710E9"/>
    <w:rsid w:val="00B717B1"/>
    <w:rsid w:val="00B725E0"/>
    <w:rsid w:val="00B72AFE"/>
    <w:rsid w:val="00B72FEE"/>
    <w:rsid w:val="00B74416"/>
    <w:rsid w:val="00B75058"/>
    <w:rsid w:val="00B75834"/>
    <w:rsid w:val="00B76A2E"/>
    <w:rsid w:val="00B77BE2"/>
    <w:rsid w:val="00B77C23"/>
    <w:rsid w:val="00B804BB"/>
    <w:rsid w:val="00B80F8E"/>
    <w:rsid w:val="00B8127E"/>
    <w:rsid w:val="00B81AF6"/>
    <w:rsid w:val="00B82238"/>
    <w:rsid w:val="00B836EE"/>
    <w:rsid w:val="00B8371C"/>
    <w:rsid w:val="00B843A3"/>
    <w:rsid w:val="00B84C92"/>
    <w:rsid w:val="00B850F5"/>
    <w:rsid w:val="00B8521B"/>
    <w:rsid w:val="00B8562A"/>
    <w:rsid w:val="00B8711F"/>
    <w:rsid w:val="00B9078C"/>
    <w:rsid w:val="00B91D04"/>
    <w:rsid w:val="00B934EE"/>
    <w:rsid w:val="00B94736"/>
    <w:rsid w:val="00B94D97"/>
    <w:rsid w:val="00B952B1"/>
    <w:rsid w:val="00B952B2"/>
    <w:rsid w:val="00B9594A"/>
    <w:rsid w:val="00B96860"/>
    <w:rsid w:val="00BA0F2F"/>
    <w:rsid w:val="00BA128F"/>
    <w:rsid w:val="00BA1729"/>
    <w:rsid w:val="00BA1AA8"/>
    <w:rsid w:val="00BA30CA"/>
    <w:rsid w:val="00BA4227"/>
    <w:rsid w:val="00BA50CD"/>
    <w:rsid w:val="00BA5626"/>
    <w:rsid w:val="00BA6008"/>
    <w:rsid w:val="00BB05D9"/>
    <w:rsid w:val="00BB1440"/>
    <w:rsid w:val="00BB152C"/>
    <w:rsid w:val="00BB399A"/>
    <w:rsid w:val="00BB6D3D"/>
    <w:rsid w:val="00BC0033"/>
    <w:rsid w:val="00BC0611"/>
    <w:rsid w:val="00BC1A64"/>
    <w:rsid w:val="00BC297C"/>
    <w:rsid w:val="00BC541B"/>
    <w:rsid w:val="00BC6A82"/>
    <w:rsid w:val="00BC6EBE"/>
    <w:rsid w:val="00BD0CD6"/>
    <w:rsid w:val="00BD10A4"/>
    <w:rsid w:val="00BD2F80"/>
    <w:rsid w:val="00BD367C"/>
    <w:rsid w:val="00BD5A57"/>
    <w:rsid w:val="00BD5E59"/>
    <w:rsid w:val="00BD5F24"/>
    <w:rsid w:val="00BD65E0"/>
    <w:rsid w:val="00BD67A6"/>
    <w:rsid w:val="00BD6D75"/>
    <w:rsid w:val="00BE11FB"/>
    <w:rsid w:val="00BE2796"/>
    <w:rsid w:val="00BE37BF"/>
    <w:rsid w:val="00BE42D5"/>
    <w:rsid w:val="00BE4E11"/>
    <w:rsid w:val="00BF2727"/>
    <w:rsid w:val="00BF2E85"/>
    <w:rsid w:val="00BF4175"/>
    <w:rsid w:val="00BF66C8"/>
    <w:rsid w:val="00C0257B"/>
    <w:rsid w:val="00C02600"/>
    <w:rsid w:val="00C04AB9"/>
    <w:rsid w:val="00C04C7B"/>
    <w:rsid w:val="00C0575E"/>
    <w:rsid w:val="00C05A7F"/>
    <w:rsid w:val="00C06D81"/>
    <w:rsid w:val="00C07C67"/>
    <w:rsid w:val="00C105E0"/>
    <w:rsid w:val="00C107DE"/>
    <w:rsid w:val="00C12AC6"/>
    <w:rsid w:val="00C15B44"/>
    <w:rsid w:val="00C1667E"/>
    <w:rsid w:val="00C166C1"/>
    <w:rsid w:val="00C16EF6"/>
    <w:rsid w:val="00C20F3A"/>
    <w:rsid w:val="00C22B64"/>
    <w:rsid w:val="00C22D5B"/>
    <w:rsid w:val="00C23049"/>
    <w:rsid w:val="00C2516D"/>
    <w:rsid w:val="00C27124"/>
    <w:rsid w:val="00C308C6"/>
    <w:rsid w:val="00C31D2F"/>
    <w:rsid w:val="00C32D48"/>
    <w:rsid w:val="00C3351C"/>
    <w:rsid w:val="00C34371"/>
    <w:rsid w:val="00C4164F"/>
    <w:rsid w:val="00C42CB7"/>
    <w:rsid w:val="00C43CF6"/>
    <w:rsid w:val="00C440D2"/>
    <w:rsid w:val="00C45AAE"/>
    <w:rsid w:val="00C46110"/>
    <w:rsid w:val="00C46A3E"/>
    <w:rsid w:val="00C50A62"/>
    <w:rsid w:val="00C50EAA"/>
    <w:rsid w:val="00C51E93"/>
    <w:rsid w:val="00C52018"/>
    <w:rsid w:val="00C52684"/>
    <w:rsid w:val="00C52AB8"/>
    <w:rsid w:val="00C539D7"/>
    <w:rsid w:val="00C541CF"/>
    <w:rsid w:val="00C55DD9"/>
    <w:rsid w:val="00C55F07"/>
    <w:rsid w:val="00C560D7"/>
    <w:rsid w:val="00C600F4"/>
    <w:rsid w:val="00C60B02"/>
    <w:rsid w:val="00C61002"/>
    <w:rsid w:val="00C654B3"/>
    <w:rsid w:val="00C661BA"/>
    <w:rsid w:val="00C715F5"/>
    <w:rsid w:val="00C71F7C"/>
    <w:rsid w:val="00C724EC"/>
    <w:rsid w:val="00C725F1"/>
    <w:rsid w:val="00C727C9"/>
    <w:rsid w:val="00C73ECA"/>
    <w:rsid w:val="00C7449D"/>
    <w:rsid w:val="00C74E6C"/>
    <w:rsid w:val="00C80425"/>
    <w:rsid w:val="00C82BEC"/>
    <w:rsid w:val="00C82E98"/>
    <w:rsid w:val="00C85633"/>
    <w:rsid w:val="00C862BF"/>
    <w:rsid w:val="00C927D8"/>
    <w:rsid w:val="00C93178"/>
    <w:rsid w:val="00C943E2"/>
    <w:rsid w:val="00C946F5"/>
    <w:rsid w:val="00C94CE9"/>
    <w:rsid w:val="00C977A0"/>
    <w:rsid w:val="00CA18C2"/>
    <w:rsid w:val="00CA191D"/>
    <w:rsid w:val="00CA2BE4"/>
    <w:rsid w:val="00CA4D97"/>
    <w:rsid w:val="00CA6012"/>
    <w:rsid w:val="00CA7FA5"/>
    <w:rsid w:val="00CB03CE"/>
    <w:rsid w:val="00CB3849"/>
    <w:rsid w:val="00CB4BDA"/>
    <w:rsid w:val="00CB5135"/>
    <w:rsid w:val="00CB6407"/>
    <w:rsid w:val="00CC0F35"/>
    <w:rsid w:val="00CC119C"/>
    <w:rsid w:val="00CC1CB0"/>
    <w:rsid w:val="00CC6595"/>
    <w:rsid w:val="00CC69F4"/>
    <w:rsid w:val="00CD066F"/>
    <w:rsid w:val="00CD3B36"/>
    <w:rsid w:val="00CD4015"/>
    <w:rsid w:val="00CD4F53"/>
    <w:rsid w:val="00CD62BA"/>
    <w:rsid w:val="00CD69C5"/>
    <w:rsid w:val="00CD7773"/>
    <w:rsid w:val="00CE046A"/>
    <w:rsid w:val="00CE0643"/>
    <w:rsid w:val="00CE2D15"/>
    <w:rsid w:val="00CE3B34"/>
    <w:rsid w:val="00CE6948"/>
    <w:rsid w:val="00CE6E97"/>
    <w:rsid w:val="00CF1E09"/>
    <w:rsid w:val="00CF38DE"/>
    <w:rsid w:val="00CF398E"/>
    <w:rsid w:val="00CF466D"/>
    <w:rsid w:val="00CF4AEF"/>
    <w:rsid w:val="00CF4BAD"/>
    <w:rsid w:val="00CF5588"/>
    <w:rsid w:val="00CF6FFE"/>
    <w:rsid w:val="00D01313"/>
    <w:rsid w:val="00D0239C"/>
    <w:rsid w:val="00D05B8C"/>
    <w:rsid w:val="00D05FA9"/>
    <w:rsid w:val="00D060A1"/>
    <w:rsid w:val="00D073EA"/>
    <w:rsid w:val="00D11F49"/>
    <w:rsid w:val="00D12372"/>
    <w:rsid w:val="00D200B3"/>
    <w:rsid w:val="00D22743"/>
    <w:rsid w:val="00D2289A"/>
    <w:rsid w:val="00D232B0"/>
    <w:rsid w:val="00D23B9F"/>
    <w:rsid w:val="00D23DAD"/>
    <w:rsid w:val="00D25DD4"/>
    <w:rsid w:val="00D32402"/>
    <w:rsid w:val="00D32E1C"/>
    <w:rsid w:val="00D33555"/>
    <w:rsid w:val="00D33582"/>
    <w:rsid w:val="00D33FE0"/>
    <w:rsid w:val="00D34414"/>
    <w:rsid w:val="00D36180"/>
    <w:rsid w:val="00D36C4A"/>
    <w:rsid w:val="00D37543"/>
    <w:rsid w:val="00D377C0"/>
    <w:rsid w:val="00D40B88"/>
    <w:rsid w:val="00D4374F"/>
    <w:rsid w:val="00D47922"/>
    <w:rsid w:val="00D47B1C"/>
    <w:rsid w:val="00D506D3"/>
    <w:rsid w:val="00D50857"/>
    <w:rsid w:val="00D5176E"/>
    <w:rsid w:val="00D52BA4"/>
    <w:rsid w:val="00D54F07"/>
    <w:rsid w:val="00D551A5"/>
    <w:rsid w:val="00D55C0F"/>
    <w:rsid w:val="00D564CE"/>
    <w:rsid w:val="00D60E38"/>
    <w:rsid w:val="00D62697"/>
    <w:rsid w:val="00D63D0B"/>
    <w:rsid w:val="00D65BC5"/>
    <w:rsid w:val="00D665BA"/>
    <w:rsid w:val="00D66D28"/>
    <w:rsid w:val="00D67436"/>
    <w:rsid w:val="00D67834"/>
    <w:rsid w:val="00D70B9E"/>
    <w:rsid w:val="00D73AD4"/>
    <w:rsid w:val="00D74785"/>
    <w:rsid w:val="00D74944"/>
    <w:rsid w:val="00D76F7A"/>
    <w:rsid w:val="00D80416"/>
    <w:rsid w:val="00D8138D"/>
    <w:rsid w:val="00D8340A"/>
    <w:rsid w:val="00D8415B"/>
    <w:rsid w:val="00D84BC4"/>
    <w:rsid w:val="00D85041"/>
    <w:rsid w:val="00D87687"/>
    <w:rsid w:val="00D911D7"/>
    <w:rsid w:val="00D92EBD"/>
    <w:rsid w:val="00D93740"/>
    <w:rsid w:val="00D94718"/>
    <w:rsid w:val="00D965B3"/>
    <w:rsid w:val="00D96A70"/>
    <w:rsid w:val="00D978B4"/>
    <w:rsid w:val="00D97AEE"/>
    <w:rsid w:val="00DA067C"/>
    <w:rsid w:val="00DA16EF"/>
    <w:rsid w:val="00DA1D4F"/>
    <w:rsid w:val="00DA29FC"/>
    <w:rsid w:val="00DA38BB"/>
    <w:rsid w:val="00DB036F"/>
    <w:rsid w:val="00DB06BE"/>
    <w:rsid w:val="00DB0FD0"/>
    <w:rsid w:val="00DB1604"/>
    <w:rsid w:val="00DB1A11"/>
    <w:rsid w:val="00DB1A70"/>
    <w:rsid w:val="00DB291A"/>
    <w:rsid w:val="00DB2A31"/>
    <w:rsid w:val="00DB3585"/>
    <w:rsid w:val="00DB526F"/>
    <w:rsid w:val="00DB5EE9"/>
    <w:rsid w:val="00DB6E15"/>
    <w:rsid w:val="00DB781C"/>
    <w:rsid w:val="00DC0226"/>
    <w:rsid w:val="00DC0D4A"/>
    <w:rsid w:val="00DC1484"/>
    <w:rsid w:val="00DC2807"/>
    <w:rsid w:val="00DC44A9"/>
    <w:rsid w:val="00DC5E16"/>
    <w:rsid w:val="00DC6950"/>
    <w:rsid w:val="00DC75B4"/>
    <w:rsid w:val="00DD353E"/>
    <w:rsid w:val="00DD6345"/>
    <w:rsid w:val="00DD6A93"/>
    <w:rsid w:val="00DD6D19"/>
    <w:rsid w:val="00DD7247"/>
    <w:rsid w:val="00DD72E2"/>
    <w:rsid w:val="00DD79DB"/>
    <w:rsid w:val="00DD7FA7"/>
    <w:rsid w:val="00DE12D6"/>
    <w:rsid w:val="00DE1D63"/>
    <w:rsid w:val="00DE2478"/>
    <w:rsid w:val="00DE35CF"/>
    <w:rsid w:val="00DE3ADA"/>
    <w:rsid w:val="00DE4724"/>
    <w:rsid w:val="00DE5AAB"/>
    <w:rsid w:val="00DE5EF9"/>
    <w:rsid w:val="00DE7609"/>
    <w:rsid w:val="00DF0B70"/>
    <w:rsid w:val="00DF1C1A"/>
    <w:rsid w:val="00DF1C7C"/>
    <w:rsid w:val="00DF219E"/>
    <w:rsid w:val="00DF2365"/>
    <w:rsid w:val="00DF32E3"/>
    <w:rsid w:val="00DF37AF"/>
    <w:rsid w:val="00DF55E2"/>
    <w:rsid w:val="00DF6E10"/>
    <w:rsid w:val="00DF7556"/>
    <w:rsid w:val="00DF77B6"/>
    <w:rsid w:val="00DF7B09"/>
    <w:rsid w:val="00DF7C10"/>
    <w:rsid w:val="00E001FF"/>
    <w:rsid w:val="00E0075A"/>
    <w:rsid w:val="00E013CD"/>
    <w:rsid w:val="00E0171C"/>
    <w:rsid w:val="00E029D1"/>
    <w:rsid w:val="00E02A68"/>
    <w:rsid w:val="00E02DEB"/>
    <w:rsid w:val="00E05097"/>
    <w:rsid w:val="00E0634E"/>
    <w:rsid w:val="00E10647"/>
    <w:rsid w:val="00E108F2"/>
    <w:rsid w:val="00E1159E"/>
    <w:rsid w:val="00E11C8B"/>
    <w:rsid w:val="00E13AD1"/>
    <w:rsid w:val="00E144A3"/>
    <w:rsid w:val="00E1680F"/>
    <w:rsid w:val="00E17310"/>
    <w:rsid w:val="00E17628"/>
    <w:rsid w:val="00E228C3"/>
    <w:rsid w:val="00E22A0E"/>
    <w:rsid w:val="00E23B15"/>
    <w:rsid w:val="00E2442A"/>
    <w:rsid w:val="00E2629E"/>
    <w:rsid w:val="00E3037E"/>
    <w:rsid w:val="00E3118F"/>
    <w:rsid w:val="00E31632"/>
    <w:rsid w:val="00E3247E"/>
    <w:rsid w:val="00E35382"/>
    <w:rsid w:val="00E36BCC"/>
    <w:rsid w:val="00E37398"/>
    <w:rsid w:val="00E40AA4"/>
    <w:rsid w:val="00E42355"/>
    <w:rsid w:val="00E425D5"/>
    <w:rsid w:val="00E437AD"/>
    <w:rsid w:val="00E45E75"/>
    <w:rsid w:val="00E4655F"/>
    <w:rsid w:val="00E46770"/>
    <w:rsid w:val="00E46C6D"/>
    <w:rsid w:val="00E4798B"/>
    <w:rsid w:val="00E50470"/>
    <w:rsid w:val="00E52723"/>
    <w:rsid w:val="00E52AF8"/>
    <w:rsid w:val="00E54292"/>
    <w:rsid w:val="00E54404"/>
    <w:rsid w:val="00E54BAF"/>
    <w:rsid w:val="00E64623"/>
    <w:rsid w:val="00E651B5"/>
    <w:rsid w:val="00E65BEF"/>
    <w:rsid w:val="00E65E09"/>
    <w:rsid w:val="00E70B49"/>
    <w:rsid w:val="00E72D54"/>
    <w:rsid w:val="00E75588"/>
    <w:rsid w:val="00E75822"/>
    <w:rsid w:val="00E77536"/>
    <w:rsid w:val="00E80266"/>
    <w:rsid w:val="00E803BB"/>
    <w:rsid w:val="00E8051C"/>
    <w:rsid w:val="00E81A8C"/>
    <w:rsid w:val="00E8209C"/>
    <w:rsid w:val="00E838DB"/>
    <w:rsid w:val="00E85901"/>
    <w:rsid w:val="00E87161"/>
    <w:rsid w:val="00E87D64"/>
    <w:rsid w:val="00E904E6"/>
    <w:rsid w:val="00E90D62"/>
    <w:rsid w:val="00E91F2D"/>
    <w:rsid w:val="00E93965"/>
    <w:rsid w:val="00E9434E"/>
    <w:rsid w:val="00E945F2"/>
    <w:rsid w:val="00E94E66"/>
    <w:rsid w:val="00E973F1"/>
    <w:rsid w:val="00E97B0A"/>
    <w:rsid w:val="00E97B46"/>
    <w:rsid w:val="00E97FD6"/>
    <w:rsid w:val="00EA053A"/>
    <w:rsid w:val="00EA09E3"/>
    <w:rsid w:val="00EA0D06"/>
    <w:rsid w:val="00EA0D68"/>
    <w:rsid w:val="00EA0F54"/>
    <w:rsid w:val="00EA2B47"/>
    <w:rsid w:val="00EA6C30"/>
    <w:rsid w:val="00EA6DA2"/>
    <w:rsid w:val="00EA7328"/>
    <w:rsid w:val="00EA74F2"/>
    <w:rsid w:val="00EA7D2E"/>
    <w:rsid w:val="00EB0083"/>
    <w:rsid w:val="00EB14FC"/>
    <w:rsid w:val="00EB1C38"/>
    <w:rsid w:val="00EB26BD"/>
    <w:rsid w:val="00EB28C7"/>
    <w:rsid w:val="00EB471A"/>
    <w:rsid w:val="00EB55EA"/>
    <w:rsid w:val="00EB65EC"/>
    <w:rsid w:val="00EB6A72"/>
    <w:rsid w:val="00EB6D22"/>
    <w:rsid w:val="00EC0F75"/>
    <w:rsid w:val="00EC1207"/>
    <w:rsid w:val="00EC2F47"/>
    <w:rsid w:val="00EC47D7"/>
    <w:rsid w:val="00EC547C"/>
    <w:rsid w:val="00EC55A1"/>
    <w:rsid w:val="00EC5834"/>
    <w:rsid w:val="00EC6877"/>
    <w:rsid w:val="00EC702B"/>
    <w:rsid w:val="00EC7C19"/>
    <w:rsid w:val="00ED0B49"/>
    <w:rsid w:val="00ED1BAF"/>
    <w:rsid w:val="00ED1D89"/>
    <w:rsid w:val="00ED34C4"/>
    <w:rsid w:val="00ED5373"/>
    <w:rsid w:val="00ED5876"/>
    <w:rsid w:val="00ED5EF5"/>
    <w:rsid w:val="00ED733F"/>
    <w:rsid w:val="00EE2C70"/>
    <w:rsid w:val="00EE2E80"/>
    <w:rsid w:val="00EE3F8D"/>
    <w:rsid w:val="00EE400B"/>
    <w:rsid w:val="00EE4544"/>
    <w:rsid w:val="00EE59CA"/>
    <w:rsid w:val="00EF17C4"/>
    <w:rsid w:val="00EF17F4"/>
    <w:rsid w:val="00EF31ED"/>
    <w:rsid w:val="00EF4CD6"/>
    <w:rsid w:val="00EF6791"/>
    <w:rsid w:val="00EF6F45"/>
    <w:rsid w:val="00F00163"/>
    <w:rsid w:val="00F0060D"/>
    <w:rsid w:val="00F02894"/>
    <w:rsid w:val="00F042A3"/>
    <w:rsid w:val="00F0654A"/>
    <w:rsid w:val="00F06CBD"/>
    <w:rsid w:val="00F07E3F"/>
    <w:rsid w:val="00F12378"/>
    <w:rsid w:val="00F128D7"/>
    <w:rsid w:val="00F13EC8"/>
    <w:rsid w:val="00F14400"/>
    <w:rsid w:val="00F148CB"/>
    <w:rsid w:val="00F1582F"/>
    <w:rsid w:val="00F179B6"/>
    <w:rsid w:val="00F20434"/>
    <w:rsid w:val="00F2424F"/>
    <w:rsid w:val="00F2562C"/>
    <w:rsid w:val="00F309ED"/>
    <w:rsid w:val="00F309F2"/>
    <w:rsid w:val="00F3290B"/>
    <w:rsid w:val="00F32C4C"/>
    <w:rsid w:val="00F365A7"/>
    <w:rsid w:val="00F36805"/>
    <w:rsid w:val="00F36DD3"/>
    <w:rsid w:val="00F3708D"/>
    <w:rsid w:val="00F37559"/>
    <w:rsid w:val="00F409E7"/>
    <w:rsid w:val="00F411C2"/>
    <w:rsid w:val="00F4215F"/>
    <w:rsid w:val="00F43D08"/>
    <w:rsid w:val="00F45714"/>
    <w:rsid w:val="00F45D35"/>
    <w:rsid w:val="00F472B9"/>
    <w:rsid w:val="00F47A36"/>
    <w:rsid w:val="00F5355C"/>
    <w:rsid w:val="00F5373A"/>
    <w:rsid w:val="00F55435"/>
    <w:rsid w:val="00F55F3D"/>
    <w:rsid w:val="00F60DE5"/>
    <w:rsid w:val="00F63412"/>
    <w:rsid w:val="00F63CE9"/>
    <w:rsid w:val="00F64D31"/>
    <w:rsid w:val="00F67F46"/>
    <w:rsid w:val="00F731B5"/>
    <w:rsid w:val="00F744A1"/>
    <w:rsid w:val="00F74E8C"/>
    <w:rsid w:val="00F767F0"/>
    <w:rsid w:val="00F77CB0"/>
    <w:rsid w:val="00F80DE9"/>
    <w:rsid w:val="00F824C6"/>
    <w:rsid w:val="00F82692"/>
    <w:rsid w:val="00F83064"/>
    <w:rsid w:val="00F877F1"/>
    <w:rsid w:val="00F90CB2"/>
    <w:rsid w:val="00F90FB2"/>
    <w:rsid w:val="00F92264"/>
    <w:rsid w:val="00F925DE"/>
    <w:rsid w:val="00F9265F"/>
    <w:rsid w:val="00F93BCC"/>
    <w:rsid w:val="00F93DB9"/>
    <w:rsid w:val="00F9431C"/>
    <w:rsid w:val="00F94A9E"/>
    <w:rsid w:val="00F94F0E"/>
    <w:rsid w:val="00F95E8E"/>
    <w:rsid w:val="00F97659"/>
    <w:rsid w:val="00F97754"/>
    <w:rsid w:val="00F97E0B"/>
    <w:rsid w:val="00FA0943"/>
    <w:rsid w:val="00FA0B3C"/>
    <w:rsid w:val="00FA0FC0"/>
    <w:rsid w:val="00FA123F"/>
    <w:rsid w:val="00FA19AB"/>
    <w:rsid w:val="00FA1C62"/>
    <w:rsid w:val="00FA2279"/>
    <w:rsid w:val="00FA58A1"/>
    <w:rsid w:val="00FA7182"/>
    <w:rsid w:val="00FA7560"/>
    <w:rsid w:val="00FB126D"/>
    <w:rsid w:val="00FB1966"/>
    <w:rsid w:val="00FB3FE0"/>
    <w:rsid w:val="00FB403A"/>
    <w:rsid w:val="00FB4B69"/>
    <w:rsid w:val="00FB73F6"/>
    <w:rsid w:val="00FC10F6"/>
    <w:rsid w:val="00FC217B"/>
    <w:rsid w:val="00FC3100"/>
    <w:rsid w:val="00FC3E82"/>
    <w:rsid w:val="00FC4AB0"/>
    <w:rsid w:val="00FC6A66"/>
    <w:rsid w:val="00FC74CC"/>
    <w:rsid w:val="00FD00E6"/>
    <w:rsid w:val="00FD0EB3"/>
    <w:rsid w:val="00FD1679"/>
    <w:rsid w:val="00FD2AAA"/>
    <w:rsid w:val="00FD5537"/>
    <w:rsid w:val="00FD582F"/>
    <w:rsid w:val="00FD6502"/>
    <w:rsid w:val="00FD6C0A"/>
    <w:rsid w:val="00FD6DC9"/>
    <w:rsid w:val="00FD78E9"/>
    <w:rsid w:val="00FE04DE"/>
    <w:rsid w:val="00FE0781"/>
    <w:rsid w:val="00FE07DE"/>
    <w:rsid w:val="00FE20B4"/>
    <w:rsid w:val="00FE2D6F"/>
    <w:rsid w:val="00FE3813"/>
    <w:rsid w:val="00FE696C"/>
    <w:rsid w:val="00FE6B41"/>
    <w:rsid w:val="00FE6B6E"/>
    <w:rsid w:val="00FF10B0"/>
    <w:rsid w:val="00FF1606"/>
    <w:rsid w:val="00FF32F1"/>
    <w:rsid w:val="00FF4DE0"/>
    <w:rsid w:val="00FF5999"/>
    <w:rsid w:val="00FF68CA"/>
    <w:rsid w:val="00FF6C47"/>
    <w:rsid w:val="00FF6DE9"/>
    <w:rsid w:val="00FF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E8B8A2"/>
  <w15:docId w15:val="{A86DFA9A-EC52-4AE8-A610-ABEE4A42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85CD9"/>
    <w:pPr>
      <w:spacing w:after="0" w:line="240" w:lineRule="auto"/>
    </w:pPr>
    <w:rPr>
      <w:rFonts w:ascii="Garamond" w:hAnsi="Garamond"/>
      <w:sz w:val="20"/>
      <w:szCs w:val="20"/>
    </w:rPr>
  </w:style>
  <w:style w:type="character" w:customStyle="1" w:styleId="FootnoteTextChar">
    <w:name w:val="Footnote Text Char"/>
    <w:basedOn w:val="DefaultParagraphFont"/>
    <w:link w:val="FootnoteText"/>
    <w:uiPriority w:val="99"/>
    <w:semiHidden/>
    <w:rsid w:val="00385CD9"/>
    <w:rPr>
      <w:rFonts w:ascii="Garamond" w:hAnsi="Garamond"/>
      <w:sz w:val="20"/>
      <w:szCs w:val="20"/>
    </w:rPr>
  </w:style>
  <w:style w:type="character" w:styleId="FootnoteReference">
    <w:name w:val="footnote reference"/>
    <w:basedOn w:val="DefaultParagraphFont"/>
    <w:uiPriority w:val="99"/>
    <w:semiHidden/>
    <w:unhideWhenUsed/>
    <w:rsid w:val="00385CD9"/>
    <w:rPr>
      <w:vertAlign w:val="superscript"/>
    </w:rPr>
  </w:style>
  <w:style w:type="paragraph" w:styleId="BalloonText">
    <w:name w:val="Balloon Text"/>
    <w:basedOn w:val="Normal"/>
    <w:link w:val="BalloonTextChar"/>
    <w:uiPriority w:val="99"/>
    <w:semiHidden/>
    <w:unhideWhenUsed/>
    <w:rsid w:val="00385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CD9"/>
    <w:rPr>
      <w:rFonts w:ascii="Tahoma" w:hAnsi="Tahoma" w:cs="Tahoma"/>
      <w:sz w:val="16"/>
      <w:szCs w:val="16"/>
    </w:rPr>
  </w:style>
  <w:style w:type="paragraph" w:styleId="ListParagraph">
    <w:name w:val="List Paragraph"/>
    <w:basedOn w:val="Normal"/>
    <w:uiPriority w:val="34"/>
    <w:qFormat/>
    <w:rsid w:val="008819E5"/>
    <w:pPr>
      <w:ind w:left="720"/>
      <w:contextualSpacing/>
    </w:pPr>
  </w:style>
  <w:style w:type="paragraph" w:styleId="Revision">
    <w:name w:val="Revision"/>
    <w:hidden/>
    <w:uiPriority w:val="99"/>
    <w:semiHidden/>
    <w:rsid w:val="00E1680F"/>
    <w:pPr>
      <w:spacing w:after="0" w:line="240" w:lineRule="auto"/>
    </w:pPr>
  </w:style>
  <w:style w:type="paragraph" w:styleId="Header">
    <w:name w:val="header"/>
    <w:basedOn w:val="Normal"/>
    <w:link w:val="HeaderChar"/>
    <w:uiPriority w:val="99"/>
    <w:unhideWhenUsed/>
    <w:rsid w:val="00B72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AFE"/>
  </w:style>
  <w:style w:type="paragraph" w:styleId="Footer">
    <w:name w:val="footer"/>
    <w:basedOn w:val="Normal"/>
    <w:link w:val="FooterChar"/>
    <w:uiPriority w:val="99"/>
    <w:unhideWhenUsed/>
    <w:rsid w:val="00B72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AFE"/>
  </w:style>
  <w:style w:type="paragraph" w:styleId="EndnoteText">
    <w:name w:val="endnote text"/>
    <w:basedOn w:val="Normal"/>
    <w:link w:val="EndnoteTextChar"/>
    <w:uiPriority w:val="99"/>
    <w:semiHidden/>
    <w:unhideWhenUsed/>
    <w:rsid w:val="007C5D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5D41"/>
    <w:rPr>
      <w:sz w:val="20"/>
      <w:szCs w:val="20"/>
    </w:rPr>
  </w:style>
  <w:style w:type="character" w:styleId="EndnoteReference">
    <w:name w:val="endnote reference"/>
    <w:basedOn w:val="DefaultParagraphFont"/>
    <w:uiPriority w:val="99"/>
    <w:semiHidden/>
    <w:unhideWhenUsed/>
    <w:rsid w:val="007C5D41"/>
    <w:rPr>
      <w:vertAlign w:val="superscript"/>
    </w:rPr>
  </w:style>
  <w:style w:type="character" w:styleId="Hyperlink">
    <w:name w:val="Hyperlink"/>
    <w:basedOn w:val="DefaultParagraphFont"/>
    <w:uiPriority w:val="99"/>
    <w:unhideWhenUsed/>
    <w:rsid w:val="002F70F1"/>
    <w:rPr>
      <w:color w:val="0000FF" w:themeColor="hyperlink"/>
      <w:u w:val="single"/>
    </w:rPr>
  </w:style>
  <w:style w:type="paragraph" w:styleId="Quote">
    <w:name w:val="Quote"/>
    <w:basedOn w:val="Normal"/>
    <w:next w:val="Normal"/>
    <w:link w:val="QuoteChar"/>
    <w:uiPriority w:val="29"/>
    <w:qFormat/>
    <w:rsid w:val="00F830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8306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7088">
      <w:bodyDiv w:val="1"/>
      <w:marLeft w:val="0"/>
      <w:marRight w:val="0"/>
      <w:marTop w:val="0"/>
      <w:marBottom w:val="0"/>
      <w:divBdr>
        <w:top w:val="none" w:sz="0" w:space="0" w:color="auto"/>
        <w:left w:val="none" w:sz="0" w:space="0" w:color="auto"/>
        <w:bottom w:val="none" w:sz="0" w:space="0" w:color="auto"/>
        <w:right w:val="none" w:sz="0" w:space="0" w:color="auto"/>
      </w:divBdr>
    </w:div>
    <w:div w:id="134876155">
      <w:bodyDiv w:val="1"/>
      <w:marLeft w:val="0"/>
      <w:marRight w:val="0"/>
      <w:marTop w:val="0"/>
      <w:marBottom w:val="0"/>
      <w:divBdr>
        <w:top w:val="none" w:sz="0" w:space="0" w:color="auto"/>
        <w:left w:val="none" w:sz="0" w:space="0" w:color="auto"/>
        <w:bottom w:val="none" w:sz="0" w:space="0" w:color="auto"/>
        <w:right w:val="none" w:sz="0" w:space="0" w:color="auto"/>
      </w:divBdr>
    </w:div>
    <w:div w:id="299844021">
      <w:bodyDiv w:val="1"/>
      <w:marLeft w:val="0"/>
      <w:marRight w:val="0"/>
      <w:marTop w:val="0"/>
      <w:marBottom w:val="0"/>
      <w:divBdr>
        <w:top w:val="none" w:sz="0" w:space="0" w:color="auto"/>
        <w:left w:val="none" w:sz="0" w:space="0" w:color="auto"/>
        <w:bottom w:val="none" w:sz="0" w:space="0" w:color="auto"/>
        <w:right w:val="none" w:sz="0" w:space="0" w:color="auto"/>
      </w:divBdr>
    </w:div>
    <w:div w:id="358630873">
      <w:bodyDiv w:val="1"/>
      <w:marLeft w:val="0"/>
      <w:marRight w:val="0"/>
      <w:marTop w:val="0"/>
      <w:marBottom w:val="0"/>
      <w:divBdr>
        <w:top w:val="none" w:sz="0" w:space="0" w:color="auto"/>
        <w:left w:val="none" w:sz="0" w:space="0" w:color="auto"/>
        <w:bottom w:val="none" w:sz="0" w:space="0" w:color="auto"/>
        <w:right w:val="none" w:sz="0" w:space="0" w:color="auto"/>
      </w:divBdr>
    </w:div>
    <w:div w:id="401368745">
      <w:bodyDiv w:val="1"/>
      <w:marLeft w:val="0"/>
      <w:marRight w:val="0"/>
      <w:marTop w:val="0"/>
      <w:marBottom w:val="0"/>
      <w:divBdr>
        <w:top w:val="none" w:sz="0" w:space="0" w:color="auto"/>
        <w:left w:val="none" w:sz="0" w:space="0" w:color="auto"/>
        <w:bottom w:val="none" w:sz="0" w:space="0" w:color="auto"/>
        <w:right w:val="none" w:sz="0" w:space="0" w:color="auto"/>
      </w:divBdr>
    </w:div>
    <w:div w:id="423889320">
      <w:bodyDiv w:val="1"/>
      <w:marLeft w:val="0"/>
      <w:marRight w:val="0"/>
      <w:marTop w:val="0"/>
      <w:marBottom w:val="0"/>
      <w:divBdr>
        <w:top w:val="none" w:sz="0" w:space="0" w:color="auto"/>
        <w:left w:val="none" w:sz="0" w:space="0" w:color="auto"/>
        <w:bottom w:val="none" w:sz="0" w:space="0" w:color="auto"/>
        <w:right w:val="none" w:sz="0" w:space="0" w:color="auto"/>
      </w:divBdr>
    </w:div>
    <w:div w:id="488325134">
      <w:bodyDiv w:val="1"/>
      <w:marLeft w:val="0"/>
      <w:marRight w:val="0"/>
      <w:marTop w:val="0"/>
      <w:marBottom w:val="0"/>
      <w:divBdr>
        <w:top w:val="none" w:sz="0" w:space="0" w:color="auto"/>
        <w:left w:val="none" w:sz="0" w:space="0" w:color="auto"/>
        <w:bottom w:val="none" w:sz="0" w:space="0" w:color="auto"/>
        <w:right w:val="none" w:sz="0" w:space="0" w:color="auto"/>
      </w:divBdr>
    </w:div>
    <w:div w:id="548686213">
      <w:bodyDiv w:val="1"/>
      <w:marLeft w:val="0"/>
      <w:marRight w:val="0"/>
      <w:marTop w:val="0"/>
      <w:marBottom w:val="0"/>
      <w:divBdr>
        <w:top w:val="none" w:sz="0" w:space="0" w:color="auto"/>
        <w:left w:val="none" w:sz="0" w:space="0" w:color="auto"/>
        <w:bottom w:val="none" w:sz="0" w:space="0" w:color="auto"/>
        <w:right w:val="none" w:sz="0" w:space="0" w:color="auto"/>
      </w:divBdr>
    </w:div>
    <w:div w:id="574169152">
      <w:bodyDiv w:val="1"/>
      <w:marLeft w:val="0"/>
      <w:marRight w:val="0"/>
      <w:marTop w:val="0"/>
      <w:marBottom w:val="0"/>
      <w:divBdr>
        <w:top w:val="none" w:sz="0" w:space="0" w:color="auto"/>
        <w:left w:val="none" w:sz="0" w:space="0" w:color="auto"/>
        <w:bottom w:val="none" w:sz="0" w:space="0" w:color="auto"/>
        <w:right w:val="none" w:sz="0" w:space="0" w:color="auto"/>
      </w:divBdr>
    </w:div>
    <w:div w:id="698702814">
      <w:bodyDiv w:val="1"/>
      <w:marLeft w:val="0"/>
      <w:marRight w:val="0"/>
      <w:marTop w:val="0"/>
      <w:marBottom w:val="0"/>
      <w:divBdr>
        <w:top w:val="none" w:sz="0" w:space="0" w:color="auto"/>
        <w:left w:val="none" w:sz="0" w:space="0" w:color="auto"/>
        <w:bottom w:val="none" w:sz="0" w:space="0" w:color="auto"/>
        <w:right w:val="none" w:sz="0" w:space="0" w:color="auto"/>
      </w:divBdr>
    </w:div>
    <w:div w:id="724521761">
      <w:bodyDiv w:val="1"/>
      <w:marLeft w:val="0"/>
      <w:marRight w:val="0"/>
      <w:marTop w:val="0"/>
      <w:marBottom w:val="0"/>
      <w:divBdr>
        <w:top w:val="none" w:sz="0" w:space="0" w:color="auto"/>
        <w:left w:val="none" w:sz="0" w:space="0" w:color="auto"/>
        <w:bottom w:val="none" w:sz="0" w:space="0" w:color="auto"/>
        <w:right w:val="none" w:sz="0" w:space="0" w:color="auto"/>
      </w:divBdr>
    </w:div>
    <w:div w:id="763187658">
      <w:bodyDiv w:val="1"/>
      <w:marLeft w:val="0"/>
      <w:marRight w:val="0"/>
      <w:marTop w:val="0"/>
      <w:marBottom w:val="0"/>
      <w:divBdr>
        <w:top w:val="none" w:sz="0" w:space="0" w:color="auto"/>
        <w:left w:val="none" w:sz="0" w:space="0" w:color="auto"/>
        <w:bottom w:val="none" w:sz="0" w:space="0" w:color="auto"/>
        <w:right w:val="none" w:sz="0" w:space="0" w:color="auto"/>
      </w:divBdr>
    </w:div>
    <w:div w:id="778794773">
      <w:bodyDiv w:val="1"/>
      <w:marLeft w:val="0"/>
      <w:marRight w:val="0"/>
      <w:marTop w:val="0"/>
      <w:marBottom w:val="0"/>
      <w:divBdr>
        <w:top w:val="none" w:sz="0" w:space="0" w:color="auto"/>
        <w:left w:val="none" w:sz="0" w:space="0" w:color="auto"/>
        <w:bottom w:val="none" w:sz="0" w:space="0" w:color="auto"/>
        <w:right w:val="none" w:sz="0" w:space="0" w:color="auto"/>
      </w:divBdr>
    </w:div>
    <w:div w:id="805782294">
      <w:bodyDiv w:val="1"/>
      <w:marLeft w:val="0"/>
      <w:marRight w:val="0"/>
      <w:marTop w:val="0"/>
      <w:marBottom w:val="0"/>
      <w:divBdr>
        <w:top w:val="none" w:sz="0" w:space="0" w:color="auto"/>
        <w:left w:val="none" w:sz="0" w:space="0" w:color="auto"/>
        <w:bottom w:val="none" w:sz="0" w:space="0" w:color="auto"/>
        <w:right w:val="none" w:sz="0" w:space="0" w:color="auto"/>
      </w:divBdr>
    </w:div>
    <w:div w:id="840047188">
      <w:bodyDiv w:val="1"/>
      <w:marLeft w:val="0"/>
      <w:marRight w:val="0"/>
      <w:marTop w:val="0"/>
      <w:marBottom w:val="0"/>
      <w:divBdr>
        <w:top w:val="none" w:sz="0" w:space="0" w:color="auto"/>
        <w:left w:val="none" w:sz="0" w:space="0" w:color="auto"/>
        <w:bottom w:val="none" w:sz="0" w:space="0" w:color="auto"/>
        <w:right w:val="none" w:sz="0" w:space="0" w:color="auto"/>
      </w:divBdr>
    </w:div>
    <w:div w:id="1014726594">
      <w:bodyDiv w:val="1"/>
      <w:marLeft w:val="0"/>
      <w:marRight w:val="0"/>
      <w:marTop w:val="0"/>
      <w:marBottom w:val="0"/>
      <w:divBdr>
        <w:top w:val="none" w:sz="0" w:space="0" w:color="auto"/>
        <w:left w:val="none" w:sz="0" w:space="0" w:color="auto"/>
        <w:bottom w:val="none" w:sz="0" w:space="0" w:color="auto"/>
        <w:right w:val="none" w:sz="0" w:space="0" w:color="auto"/>
      </w:divBdr>
    </w:div>
    <w:div w:id="1090931109">
      <w:bodyDiv w:val="1"/>
      <w:marLeft w:val="0"/>
      <w:marRight w:val="0"/>
      <w:marTop w:val="0"/>
      <w:marBottom w:val="0"/>
      <w:divBdr>
        <w:top w:val="none" w:sz="0" w:space="0" w:color="auto"/>
        <w:left w:val="none" w:sz="0" w:space="0" w:color="auto"/>
        <w:bottom w:val="none" w:sz="0" w:space="0" w:color="auto"/>
        <w:right w:val="none" w:sz="0" w:space="0" w:color="auto"/>
      </w:divBdr>
    </w:div>
    <w:div w:id="1092242824">
      <w:bodyDiv w:val="1"/>
      <w:marLeft w:val="0"/>
      <w:marRight w:val="0"/>
      <w:marTop w:val="0"/>
      <w:marBottom w:val="0"/>
      <w:divBdr>
        <w:top w:val="none" w:sz="0" w:space="0" w:color="auto"/>
        <w:left w:val="none" w:sz="0" w:space="0" w:color="auto"/>
        <w:bottom w:val="none" w:sz="0" w:space="0" w:color="auto"/>
        <w:right w:val="none" w:sz="0" w:space="0" w:color="auto"/>
      </w:divBdr>
    </w:div>
    <w:div w:id="1153789529">
      <w:bodyDiv w:val="1"/>
      <w:marLeft w:val="0"/>
      <w:marRight w:val="0"/>
      <w:marTop w:val="0"/>
      <w:marBottom w:val="0"/>
      <w:divBdr>
        <w:top w:val="none" w:sz="0" w:space="0" w:color="auto"/>
        <w:left w:val="none" w:sz="0" w:space="0" w:color="auto"/>
        <w:bottom w:val="none" w:sz="0" w:space="0" w:color="auto"/>
        <w:right w:val="none" w:sz="0" w:space="0" w:color="auto"/>
      </w:divBdr>
    </w:div>
    <w:div w:id="1173883388">
      <w:bodyDiv w:val="1"/>
      <w:marLeft w:val="0"/>
      <w:marRight w:val="0"/>
      <w:marTop w:val="0"/>
      <w:marBottom w:val="0"/>
      <w:divBdr>
        <w:top w:val="none" w:sz="0" w:space="0" w:color="auto"/>
        <w:left w:val="none" w:sz="0" w:space="0" w:color="auto"/>
        <w:bottom w:val="none" w:sz="0" w:space="0" w:color="auto"/>
        <w:right w:val="none" w:sz="0" w:space="0" w:color="auto"/>
      </w:divBdr>
    </w:div>
    <w:div w:id="1261719774">
      <w:bodyDiv w:val="1"/>
      <w:marLeft w:val="0"/>
      <w:marRight w:val="0"/>
      <w:marTop w:val="0"/>
      <w:marBottom w:val="0"/>
      <w:divBdr>
        <w:top w:val="none" w:sz="0" w:space="0" w:color="auto"/>
        <w:left w:val="none" w:sz="0" w:space="0" w:color="auto"/>
        <w:bottom w:val="none" w:sz="0" w:space="0" w:color="auto"/>
        <w:right w:val="none" w:sz="0" w:space="0" w:color="auto"/>
      </w:divBdr>
    </w:div>
    <w:div w:id="1262444954">
      <w:bodyDiv w:val="1"/>
      <w:marLeft w:val="0"/>
      <w:marRight w:val="0"/>
      <w:marTop w:val="0"/>
      <w:marBottom w:val="0"/>
      <w:divBdr>
        <w:top w:val="none" w:sz="0" w:space="0" w:color="auto"/>
        <w:left w:val="none" w:sz="0" w:space="0" w:color="auto"/>
        <w:bottom w:val="none" w:sz="0" w:space="0" w:color="auto"/>
        <w:right w:val="none" w:sz="0" w:space="0" w:color="auto"/>
      </w:divBdr>
    </w:div>
    <w:div w:id="1315111413">
      <w:bodyDiv w:val="1"/>
      <w:marLeft w:val="0"/>
      <w:marRight w:val="0"/>
      <w:marTop w:val="0"/>
      <w:marBottom w:val="0"/>
      <w:divBdr>
        <w:top w:val="none" w:sz="0" w:space="0" w:color="auto"/>
        <w:left w:val="none" w:sz="0" w:space="0" w:color="auto"/>
        <w:bottom w:val="none" w:sz="0" w:space="0" w:color="auto"/>
        <w:right w:val="none" w:sz="0" w:space="0" w:color="auto"/>
      </w:divBdr>
    </w:div>
    <w:div w:id="1318343562">
      <w:bodyDiv w:val="1"/>
      <w:marLeft w:val="0"/>
      <w:marRight w:val="0"/>
      <w:marTop w:val="0"/>
      <w:marBottom w:val="0"/>
      <w:divBdr>
        <w:top w:val="none" w:sz="0" w:space="0" w:color="auto"/>
        <w:left w:val="none" w:sz="0" w:space="0" w:color="auto"/>
        <w:bottom w:val="none" w:sz="0" w:space="0" w:color="auto"/>
        <w:right w:val="none" w:sz="0" w:space="0" w:color="auto"/>
      </w:divBdr>
    </w:div>
    <w:div w:id="1365397568">
      <w:bodyDiv w:val="1"/>
      <w:marLeft w:val="0"/>
      <w:marRight w:val="0"/>
      <w:marTop w:val="0"/>
      <w:marBottom w:val="0"/>
      <w:divBdr>
        <w:top w:val="none" w:sz="0" w:space="0" w:color="auto"/>
        <w:left w:val="none" w:sz="0" w:space="0" w:color="auto"/>
        <w:bottom w:val="none" w:sz="0" w:space="0" w:color="auto"/>
        <w:right w:val="none" w:sz="0" w:space="0" w:color="auto"/>
      </w:divBdr>
    </w:div>
    <w:div w:id="1371762731">
      <w:bodyDiv w:val="1"/>
      <w:marLeft w:val="0"/>
      <w:marRight w:val="0"/>
      <w:marTop w:val="0"/>
      <w:marBottom w:val="0"/>
      <w:divBdr>
        <w:top w:val="none" w:sz="0" w:space="0" w:color="auto"/>
        <w:left w:val="none" w:sz="0" w:space="0" w:color="auto"/>
        <w:bottom w:val="none" w:sz="0" w:space="0" w:color="auto"/>
        <w:right w:val="none" w:sz="0" w:space="0" w:color="auto"/>
      </w:divBdr>
    </w:div>
    <w:div w:id="1390422844">
      <w:bodyDiv w:val="1"/>
      <w:marLeft w:val="0"/>
      <w:marRight w:val="0"/>
      <w:marTop w:val="0"/>
      <w:marBottom w:val="0"/>
      <w:divBdr>
        <w:top w:val="none" w:sz="0" w:space="0" w:color="auto"/>
        <w:left w:val="none" w:sz="0" w:space="0" w:color="auto"/>
        <w:bottom w:val="none" w:sz="0" w:space="0" w:color="auto"/>
        <w:right w:val="none" w:sz="0" w:space="0" w:color="auto"/>
      </w:divBdr>
    </w:div>
    <w:div w:id="1455635531">
      <w:bodyDiv w:val="1"/>
      <w:marLeft w:val="0"/>
      <w:marRight w:val="0"/>
      <w:marTop w:val="0"/>
      <w:marBottom w:val="0"/>
      <w:divBdr>
        <w:top w:val="none" w:sz="0" w:space="0" w:color="auto"/>
        <w:left w:val="none" w:sz="0" w:space="0" w:color="auto"/>
        <w:bottom w:val="none" w:sz="0" w:space="0" w:color="auto"/>
        <w:right w:val="none" w:sz="0" w:space="0" w:color="auto"/>
      </w:divBdr>
    </w:div>
    <w:div w:id="1535147538">
      <w:bodyDiv w:val="1"/>
      <w:marLeft w:val="0"/>
      <w:marRight w:val="0"/>
      <w:marTop w:val="0"/>
      <w:marBottom w:val="0"/>
      <w:divBdr>
        <w:top w:val="none" w:sz="0" w:space="0" w:color="auto"/>
        <w:left w:val="none" w:sz="0" w:space="0" w:color="auto"/>
        <w:bottom w:val="none" w:sz="0" w:space="0" w:color="auto"/>
        <w:right w:val="none" w:sz="0" w:space="0" w:color="auto"/>
      </w:divBdr>
    </w:div>
    <w:div w:id="1550649473">
      <w:bodyDiv w:val="1"/>
      <w:marLeft w:val="0"/>
      <w:marRight w:val="0"/>
      <w:marTop w:val="0"/>
      <w:marBottom w:val="0"/>
      <w:divBdr>
        <w:top w:val="none" w:sz="0" w:space="0" w:color="auto"/>
        <w:left w:val="none" w:sz="0" w:space="0" w:color="auto"/>
        <w:bottom w:val="none" w:sz="0" w:space="0" w:color="auto"/>
        <w:right w:val="none" w:sz="0" w:space="0" w:color="auto"/>
      </w:divBdr>
    </w:div>
    <w:div w:id="1564557536">
      <w:bodyDiv w:val="1"/>
      <w:marLeft w:val="0"/>
      <w:marRight w:val="0"/>
      <w:marTop w:val="0"/>
      <w:marBottom w:val="0"/>
      <w:divBdr>
        <w:top w:val="none" w:sz="0" w:space="0" w:color="auto"/>
        <w:left w:val="none" w:sz="0" w:space="0" w:color="auto"/>
        <w:bottom w:val="none" w:sz="0" w:space="0" w:color="auto"/>
        <w:right w:val="none" w:sz="0" w:space="0" w:color="auto"/>
      </w:divBdr>
    </w:div>
    <w:div w:id="1652757293">
      <w:bodyDiv w:val="1"/>
      <w:marLeft w:val="0"/>
      <w:marRight w:val="0"/>
      <w:marTop w:val="0"/>
      <w:marBottom w:val="0"/>
      <w:divBdr>
        <w:top w:val="none" w:sz="0" w:space="0" w:color="auto"/>
        <w:left w:val="none" w:sz="0" w:space="0" w:color="auto"/>
        <w:bottom w:val="none" w:sz="0" w:space="0" w:color="auto"/>
        <w:right w:val="none" w:sz="0" w:space="0" w:color="auto"/>
      </w:divBdr>
    </w:div>
    <w:div w:id="1667439670">
      <w:bodyDiv w:val="1"/>
      <w:marLeft w:val="0"/>
      <w:marRight w:val="0"/>
      <w:marTop w:val="0"/>
      <w:marBottom w:val="0"/>
      <w:divBdr>
        <w:top w:val="none" w:sz="0" w:space="0" w:color="auto"/>
        <w:left w:val="none" w:sz="0" w:space="0" w:color="auto"/>
        <w:bottom w:val="none" w:sz="0" w:space="0" w:color="auto"/>
        <w:right w:val="none" w:sz="0" w:space="0" w:color="auto"/>
      </w:divBdr>
    </w:div>
    <w:div w:id="1692486030">
      <w:bodyDiv w:val="1"/>
      <w:marLeft w:val="0"/>
      <w:marRight w:val="0"/>
      <w:marTop w:val="0"/>
      <w:marBottom w:val="0"/>
      <w:divBdr>
        <w:top w:val="none" w:sz="0" w:space="0" w:color="auto"/>
        <w:left w:val="none" w:sz="0" w:space="0" w:color="auto"/>
        <w:bottom w:val="none" w:sz="0" w:space="0" w:color="auto"/>
        <w:right w:val="none" w:sz="0" w:space="0" w:color="auto"/>
      </w:divBdr>
    </w:div>
    <w:div w:id="1731997850">
      <w:bodyDiv w:val="1"/>
      <w:marLeft w:val="0"/>
      <w:marRight w:val="0"/>
      <w:marTop w:val="0"/>
      <w:marBottom w:val="0"/>
      <w:divBdr>
        <w:top w:val="none" w:sz="0" w:space="0" w:color="auto"/>
        <w:left w:val="none" w:sz="0" w:space="0" w:color="auto"/>
        <w:bottom w:val="none" w:sz="0" w:space="0" w:color="auto"/>
        <w:right w:val="none" w:sz="0" w:space="0" w:color="auto"/>
      </w:divBdr>
    </w:div>
    <w:div w:id="1778863303">
      <w:bodyDiv w:val="1"/>
      <w:marLeft w:val="0"/>
      <w:marRight w:val="0"/>
      <w:marTop w:val="0"/>
      <w:marBottom w:val="0"/>
      <w:divBdr>
        <w:top w:val="none" w:sz="0" w:space="0" w:color="auto"/>
        <w:left w:val="none" w:sz="0" w:space="0" w:color="auto"/>
        <w:bottom w:val="none" w:sz="0" w:space="0" w:color="auto"/>
        <w:right w:val="none" w:sz="0" w:space="0" w:color="auto"/>
      </w:divBdr>
    </w:div>
    <w:div w:id="1811286750">
      <w:bodyDiv w:val="1"/>
      <w:marLeft w:val="0"/>
      <w:marRight w:val="0"/>
      <w:marTop w:val="0"/>
      <w:marBottom w:val="0"/>
      <w:divBdr>
        <w:top w:val="none" w:sz="0" w:space="0" w:color="auto"/>
        <w:left w:val="none" w:sz="0" w:space="0" w:color="auto"/>
        <w:bottom w:val="none" w:sz="0" w:space="0" w:color="auto"/>
        <w:right w:val="none" w:sz="0" w:space="0" w:color="auto"/>
      </w:divBdr>
    </w:div>
    <w:div w:id="1903715557">
      <w:bodyDiv w:val="1"/>
      <w:marLeft w:val="0"/>
      <w:marRight w:val="0"/>
      <w:marTop w:val="0"/>
      <w:marBottom w:val="0"/>
      <w:divBdr>
        <w:top w:val="none" w:sz="0" w:space="0" w:color="auto"/>
        <w:left w:val="none" w:sz="0" w:space="0" w:color="auto"/>
        <w:bottom w:val="none" w:sz="0" w:space="0" w:color="auto"/>
        <w:right w:val="none" w:sz="0" w:space="0" w:color="auto"/>
      </w:divBdr>
    </w:div>
    <w:div w:id="1906141873">
      <w:bodyDiv w:val="1"/>
      <w:marLeft w:val="0"/>
      <w:marRight w:val="0"/>
      <w:marTop w:val="0"/>
      <w:marBottom w:val="0"/>
      <w:divBdr>
        <w:top w:val="none" w:sz="0" w:space="0" w:color="auto"/>
        <w:left w:val="none" w:sz="0" w:space="0" w:color="auto"/>
        <w:bottom w:val="none" w:sz="0" w:space="0" w:color="auto"/>
        <w:right w:val="none" w:sz="0" w:space="0" w:color="auto"/>
      </w:divBdr>
    </w:div>
    <w:div w:id="1914504944">
      <w:bodyDiv w:val="1"/>
      <w:marLeft w:val="0"/>
      <w:marRight w:val="0"/>
      <w:marTop w:val="0"/>
      <w:marBottom w:val="0"/>
      <w:divBdr>
        <w:top w:val="none" w:sz="0" w:space="0" w:color="auto"/>
        <w:left w:val="none" w:sz="0" w:space="0" w:color="auto"/>
        <w:bottom w:val="none" w:sz="0" w:space="0" w:color="auto"/>
        <w:right w:val="none" w:sz="0" w:space="0" w:color="auto"/>
      </w:divBdr>
    </w:div>
    <w:div w:id="1939747395">
      <w:bodyDiv w:val="1"/>
      <w:marLeft w:val="0"/>
      <w:marRight w:val="0"/>
      <w:marTop w:val="0"/>
      <w:marBottom w:val="0"/>
      <w:divBdr>
        <w:top w:val="none" w:sz="0" w:space="0" w:color="auto"/>
        <w:left w:val="none" w:sz="0" w:space="0" w:color="auto"/>
        <w:bottom w:val="none" w:sz="0" w:space="0" w:color="auto"/>
        <w:right w:val="none" w:sz="0" w:space="0" w:color="auto"/>
      </w:divBdr>
    </w:div>
    <w:div w:id="1944612015">
      <w:bodyDiv w:val="1"/>
      <w:marLeft w:val="0"/>
      <w:marRight w:val="0"/>
      <w:marTop w:val="0"/>
      <w:marBottom w:val="0"/>
      <w:divBdr>
        <w:top w:val="none" w:sz="0" w:space="0" w:color="auto"/>
        <w:left w:val="none" w:sz="0" w:space="0" w:color="auto"/>
        <w:bottom w:val="none" w:sz="0" w:space="0" w:color="auto"/>
        <w:right w:val="none" w:sz="0" w:space="0" w:color="auto"/>
      </w:divBdr>
    </w:div>
    <w:div w:id="1948345031">
      <w:bodyDiv w:val="1"/>
      <w:marLeft w:val="0"/>
      <w:marRight w:val="0"/>
      <w:marTop w:val="0"/>
      <w:marBottom w:val="0"/>
      <w:divBdr>
        <w:top w:val="none" w:sz="0" w:space="0" w:color="auto"/>
        <w:left w:val="none" w:sz="0" w:space="0" w:color="auto"/>
        <w:bottom w:val="none" w:sz="0" w:space="0" w:color="auto"/>
        <w:right w:val="none" w:sz="0" w:space="0" w:color="auto"/>
      </w:divBdr>
    </w:div>
    <w:div w:id="2011135872">
      <w:bodyDiv w:val="1"/>
      <w:marLeft w:val="0"/>
      <w:marRight w:val="0"/>
      <w:marTop w:val="0"/>
      <w:marBottom w:val="0"/>
      <w:divBdr>
        <w:top w:val="none" w:sz="0" w:space="0" w:color="auto"/>
        <w:left w:val="none" w:sz="0" w:space="0" w:color="auto"/>
        <w:bottom w:val="none" w:sz="0" w:space="0" w:color="auto"/>
        <w:right w:val="none" w:sz="0" w:space="0" w:color="auto"/>
      </w:divBdr>
    </w:div>
    <w:div w:id="2038462510">
      <w:bodyDiv w:val="1"/>
      <w:marLeft w:val="0"/>
      <w:marRight w:val="0"/>
      <w:marTop w:val="0"/>
      <w:marBottom w:val="0"/>
      <w:divBdr>
        <w:top w:val="none" w:sz="0" w:space="0" w:color="auto"/>
        <w:left w:val="none" w:sz="0" w:space="0" w:color="auto"/>
        <w:bottom w:val="none" w:sz="0" w:space="0" w:color="auto"/>
        <w:right w:val="none" w:sz="0" w:space="0" w:color="auto"/>
      </w:divBdr>
    </w:div>
    <w:div w:id="2052419854">
      <w:bodyDiv w:val="1"/>
      <w:marLeft w:val="0"/>
      <w:marRight w:val="0"/>
      <w:marTop w:val="0"/>
      <w:marBottom w:val="0"/>
      <w:divBdr>
        <w:top w:val="none" w:sz="0" w:space="0" w:color="auto"/>
        <w:left w:val="none" w:sz="0" w:space="0" w:color="auto"/>
        <w:bottom w:val="none" w:sz="0" w:space="0" w:color="auto"/>
        <w:right w:val="none" w:sz="0" w:space="0" w:color="auto"/>
      </w:divBdr>
    </w:div>
    <w:div w:id="2055807728">
      <w:bodyDiv w:val="1"/>
      <w:marLeft w:val="0"/>
      <w:marRight w:val="0"/>
      <w:marTop w:val="0"/>
      <w:marBottom w:val="0"/>
      <w:divBdr>
        <w:top w:val="none" w:sz="0" w:space="0" w:color="auto"/>
        <w:left w:val="none" w:sz="0" w:space="0" w:color="auto"/>
        <w:bottom w:val="none" w:sz="0" w:space="0" w:color="auto"/>
        <w:right w:val="none" w:sz="0" w:space="0" w:color="auto"/>
      </w:divBdr>
    </w:div>
    <w:div w:id="2073893677">
      <w:bodyDiv w:val="1"/>
      <w:marLeft w:val="0"/>
      <w:marRight w:val="0"/>
      <w:marTop w:val="0"/>
      <w:marBottom w:val="0"/>
      <w:divBdr>
        <w:top w:val="none" w:sz="0" w:space="0" w:color="auto"/>
        <w:left w:val="none" w:sz="0" w:space="0" w:color="auto"/>
        <w:bottom w:val="none" w:sz="0" w:space="0" w:color="auto"/>
        <w:right w:val="none" w:sz="0" w:space="0" w:color="auto"/>
      </w:divBdr>
    </w:div>
    <w:div w:id="2122528194">
      <w:bodyDiv w:val="1"/>
      <w:marLeft w:val="0"/>
      <w:marRight w:val="0"/>
      <w:marTop w:val="0"/>
      <w:marBottom w:val="0"/>
      <w:divBdr>
        <w:top w:val="none" w:sz="0" w:space="0" w:color="auto"/>
        <w:left w:val="none" w:sz="0" w:space="0" w:color="auto"/>
        <w:bottom w:val="none" w:sz="0" w:space="0" w:color="auto"/>
        <w:right w:val="none" w:sz="0" w:space="0" w:color="auto"/>
      </w:divBdr>
    </w:div>
    <w:div w:id="2141147412">
      <w:bodyDiv w:val="1"/>
      <w:marLeft w:val="0"/>
      <w:marRight w:val="0"/>
      <w:marTop w:val="0"/>
      <w:marBottom w:val="0"/>
      <w:divBdr>
        <w:top w:val="none" w:sz="0" w:space="0" w:color="auto"/>
        <w:left w:val="none" w:sz="0" w:space="0" w:color="auto"/>
        <w:bottom w:val="none" w:sz="0" w:space="0" w:color="auto"/>
        <w:right w:val="none" w:sz="0" w:space="0" w:color="auto"/>
      </w:divBdr>
    </w:div>
    <w:div w:id="214495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C:\Users\MBarry\AppData\Local\Microsoft\Windows\Temporary%20Internet%20Files\Content.Outlook\AC9SZ102\www.centerpointadvisor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ADB07-E563-4453-8E46-D3AD8B9E1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newpc</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Barry</dc:creator>
  <cp:lastModifiedBy>John Wolfsberg</cp:lastModifiedBy>
  <cp:revision>3</cp:revision>
  <cp:lastPrinted>2017-02-07T16:30:00Z</cp:lastPrinted>
  <dcterms:created xsi:type="dcterms:W3CDTF">2017-02-07T19:26:00Z</dcterms:created>
  <dcterms:modified xsi:type="dcterms:W3CDTF">2017-02-07T19:27:00Z</dcterms:modified>
</cp:coreProperties>
</file>